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Borders>
              <w:top w:val="single" w:color="CCCCCC" w:sz="1"/>
              <w:left w:val="single" w:color="CCCCCC" w:sz="1"/>
              <w:bottom w:val="single" w:color="CCCCCC" w:sz="1"/>
              <w:right w:val="single" w:color="CCCCCC" w:sz="1"/>
            </w:tcBorders>
            <w:shd w:fill="1A5276" w:val="clear"/>
            <w:tcMar>
              <w:top w:type="dxa" w:w="200"/>
              <w:left w:type="dxa" w:w="240"/>
              <w:bottom w:type="dxa" w:w="60"/>
              <w:right w:type="dxa" w:w="240"/>
            </w:tcMar>
          </w:tcPr>
          <w:p>
            <w:pPr>
              <w:jc w:val="left"/>
            </w:pPr>
            <w:r>
              <w:rPr>
                <w:rFonts w:ascii="Arial" w:cs="Arial" w:eastAsia="Arial" w:hAnsi="Arial"/>
                <w:b/>
                <w:bCs/>
                <w:color w:val="FFFFFF"/>
                <w:sz w:val="52"/>
                <w:szCs w:val="52"/>
              </w:rPr>
              <w:t xml:space="preserve">How Super Are Your Senses?</w:t>
            </w:r>
          </w:p>
          <w:p>
            <w:pPr>
              <w:spacing w:after="100"/>
              <w:jc w:val="left"/>
            </w:pPr>
            <w:r>
              <w:rPr>
                <w:rFonts w:ascii="Arial" w:cs="Arial" w:eastAsia="Arial" w:hAnsi="Arial"/>
                <w:color w:val="A9D8F5"/>
                <w:sz w:val="28"/>
                <w:szCs w:val="28"/>
              </w:rPr>
              <w:t xml:space="preserve">Mapping Touch Sensitivity and the Brain's Body Map</w:t>
            </w:r>
          </w:p>
        </w:tc>
      </w:tr>
    </w:tbl>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Borders>
              <w:top w:val="single" w:color="CCCCCC" w:sz="1"/>
              <w:left w:val="single" w:color="CCCCCC" w:sz="1"/>
              <w:bottom w:val="single" w:color="CCCCCC" w:sz="1"/>
              <w:right w:val="single" w:color="CCCCCC" w:sz="1"/>
            </w:tcBorders>
            <w:shd w:fill="1ABC9C" w:val="clear"/>
            <w:tcMar>
              <w:top w:type="dxa" w:w="80"/>
              <w:left w:type="dxa" w:w="240"/>
              <w:bottom w:type="dxa" w:w="80"/>
              <w:right w:type="dxa" w:w="240"/>
            </w:tcMar>
          </w:tcPr>
          <w:p>
            <w:r>
              <w:rPr>
                <w:rFonts w:ascii="Arial" w:cs="Arial" w:eastAsia="Arial" w:hAnsi="Arial"/>
                <w:color w:val="FFFFFF"/>
                <w:sz w:val="18"/>
                <w:szCs w:val="18"/>
              </w:rPr>
              <w:t xml:space="preserve">Avante Science  •  Middle School Science Fair  •  Neuroscience &amp; Human Sensation</w:t>
            </w:r>
          </w:p>
        </w:tc>
      </w:tr>
    </w:tbl>
    <w:p>
      <w:pPr>
        <w:spacing w:after="1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1A5276" w:val="clear"/>
            <w:tcMar>
              <w:top w:type="dxa" w:w="100"/>
              <w:left w:type="dxa" w:w="180"/>
              <w:bottom w:type="dxa" w:w="100"/>
              <w:right w:type="dxa" w:w="180"/>
            </w:tcMar>
          </w:tcPr>
          <w:p>
            <w:r>
              <w:rPr>
                <w:rFonts w:ascii="Arial" w:cs="Arial" w:eastAsia="Arial" w:hAnsi="Arial"/>
                <w:b/>
                <w:bCs/>
                <w:color w:val="FFFFFF"/>
                <w:sz w:val="26"/>
                <w:szCs w:val="26"/>
              </w:rPr>
              <w:t xml:space="preserve">🧠 Background — What's Going On?</w:t>
            </w:r>
          </w:p>
        </w:tc>
      </w:tr>
      <w:tr>
        <w:tc>
          <w:tcPr>
            <w:tcW w:type="dxa" w:w="9360"/>
            <w:tcBorders>
              <w:top w:val="single" w:color="CCCCCC" w:sz="1"/>
              <w:left w:val="single" w:color="CCCCCC" w:sz="1"/>
              <w:bottom w:val="single" w:color="CCCCCC" w:sz="1"/>
              <w:right w:val="single" w:color="CCCCCC" w:sz="1"/>
            </w:tcBorders>
            <w:shd w:fill="EAF4FB" w:val="clear"/>
            <w:tcMar>
              <w:top w:type="dxa" w:w="120"/>
              <w:left w:type="dxa" w:w="180"/>
              <w:bottom w:type="dxa" w:w="120"/>
              <w:right w:type="dxa" w:w="180"/>
            </w:tcMar>
          </w:tcPr>
          <w:p>
            <w:pPr>
              <w:spacing w:after="120"/>
            </w:pPr>
            <w:r>
              <w:rPr>
                <w:rFonts w:ascii="Arial" w:cs="Arial" w:eastAsia="Arial" w:hAnsi="Arial"/>
                <w:b w:val="false"/>
                <w:bCs w:val="false"/>
                <w:i w:val="false"/>
                <w:iCs w:val="false"/>
                <w:color w:val="1C1C1C"/>
                <w:sz w:val="22"/>
                <w:szCs w:val="22"/>
              </w:rPr>
              <w:t xml:space="preserve">Your brain has a remarkable map of your body — an internal diagram that represents every inch of your skin. This map is called the sensory homunculus (Latin for 'little person'), and it looks nothing like your actual body. Instead, it is distorted: body parts that are more sensitive to touch — like your fingertips and lips — take up far more space on the brain map than less sensitive areas, like your back or thigh.</w:t>
            </w:r>
          </w:p>
          <w:p>
            <w:pPr>
              <w:spacing w:after="160"/>
            </w:pPr>
          </w:p>
          <w:p>
            <w:pPr>
              <w:spacing w:after="120"/>
            </w:pPr>
            <w:r>
              <w:rPr>
                <w:rFonts w:ascii="Arial" w:cs="Arial" w:eastAsia="Arial" w:hAnsi="Arial"/>
                <w:b w:val="false"/>
                <w:bCs w:val="false"/>
                <w:i w:val="false"/>
                <w:iCs w:val="false"/>
                <w:color w:val="1C1C1C"/>
                <w:sz w:val="22"/>
                <w:szCs w:val="22"/>
              </w:rPr>
              <w:t xml:space="preserve">Why are some areas more sensitive? The answer lies in nerve density. Your fingertips are packed with specialized touch receptors called mechanoreceptors. These tiny sensors detect pressure, texture, vibration, and movement. The more receptors a region has, the better your brain can distinguish fine details — and the more space that region gets on the brain's sensory map.</w:t>
            </w:r>
          </w:p>
          <w:p>
            <w:pPr>
              <w:spacing w:after="160"/>
            </w:pPr>
          </w:p>
          <w:p>
            <w:pPr>
              <w:spacing w:after="120"/>
            </w:pPr>
            <w:r>
              <w:rPr>
                <w:rFonts w:ascii="Arial" w:cs="Arial" w:eastAsia="Arial" w:hAnsi="Arial"/>
                <w:b w:val="false"/>
                <w:bCs w:val="false"/>
                <w:i w:val="false"/>
                <w:iCs w:val="false"/>
                <w:color w:val="1C1C1C"/>
                <w:sz w:val="22"/>
                <w:szCs w:val="22"/>
              </w:rPr>
              <w:t xml:space="preserve">In this experiment, you will test how well different body parts can distinguish two separate touch points that are very close together. This is called two-point discrimination — a classic neuroscience test used to map sensory ability across the body.</w:t>
            </w:r>
          </w:p>
          <w:p>
            <w:pPr>
              <w:spacing w:after="160"/>
            </w:pPr>
          </w:p>
          <w:p>
            <w:pPr>
              <w:spacing w:after="120"/>
            </w:pPr>
            <w:r>
              <w:rPr>
                <w:rFonts w:ascii="Arial" w:cs="Arial" w:eastAsia="Arial" w:hAnsi="Arial"/>
                <w:b/>
                <w:bCs/>
                <w:i w:val="false"/>
                <w:iCs w:val="false"/>
                <w:color w:val="1C1C1C"/>
                <w:sz w:val="22"/>
                <w:szCs w:val="22"/>
              </w:rPr>
              <w:t xml:space="preserve">Key concept:</w:t>
            </w:r>
          </w:p>
          <w:p>
            <w:pPr>
              <w:spacing w:after="120"/>
            </w:pPr>
            <w:r>
              <w:rPr>
                <w:rFonts w:ascii="Arial" w:cs="Arial" w:eastAsia="Arial" w:hAnsi="Arial"/>
                <w:b w:val="false"/>
                <w:bCs w:val="false"/>
                <w:i w:val="false"/>
                <w:iCs w:val="false"/>
                <w:color w:val="1C1C1C"/>
                <w:sz w:val="22"/>
                <w:szCs w:val="22"/>
              </w:rPr>
              <w:t xml:space="preserve">Two-point discrimination threshold is the smallest distance at which a person can feel two separate touch points. A small threshold (like 2–3 mm for fingertips) means high sensitivity. A large threshold (like 30–40 mm for the upper back) means low sensitivity. The threshold reflects the density of sensory receptors in that area.</w:t>
            </w:r>
          </w:p>
        </w:tc>
      </w:tr>
    </w:tbl>
    <w:p>
      <w:pPr>
        <w:spacing w:after="1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Borders>
              <w:top w:val="single" w:color="CCCCCC" w:sz="1"/>
              <w:left w:val="single" w:color="CCCCCC" w:sz="1"/>
              <w:bottom w:val="single" w:color="CCCCCC" w:sz="1"/>
              <w:right w:val="single" w:color="CCCCCC" w:sz="1"/>
            </w:tcBorders>
            <w:shd w:fill="1A5276" w:val="clear"/>
            <w:tcMar>
              <w:top w:type="dxa" w:w="80"/>
              <w:left w:type="dxa" w:w="180"/>
              <w:bottom w:type="dxa" w:w="80"/>
              <w:right w:type="dxa" w:w="180"/>
            </w:tcMar>
          </w:tcPr>
          <w:p>
            <w:r>
              <w:rPr>
                <w:rFonts w:ascii="Arial" w:cs="Arial" w:eastAsia="Arial" w:hAnsi="Arial"/>
                <w:b/>
                <w:bCs/>
                <w:color w:val="FFFFFF"/>
                <w:sz w:val="26"/>
                <w:szCs w:val="26"/>
              </w:rPr>
              <w:t xml:space="preserve">❓ Scientific Question</w:t>
            </w:r>
          </w:p>
        </w:tc>
      </w:tr>
      <w:tr>
        <w:tc>
          <w:tcPr>
            <w:tcBorders>
              <w:top w:val="single" w:color="CCCCCC" w:sz="1"/>
              <w:left w:val="single" w:color="CCCCCC" w:sz="1"/>
              <w:bottom w:val="single" w:color="CCCCCC" w:sz="1"/>
              <w:right w:val="single" w:color="CCCCCC" w:sz="1"/>
            </w:tcBorders>
            <w:shd w:fill="F2F3F4" w:val="clear"/>
            <w:tcMar>
              <w:top w:type="dxa" w:w="120"/>
              <w:left w:type="dxa" w:w="180"/>
              <w:bottom w:type="dxa" w:w="120"/>
              <w:right w:type="dxa" w:w="180"/>
            </w:tcMar>
          </w:tcPr>
          <w:p>
            <w:r>
              <w:rPr>
                <w:rFonts w:ascii="Arial" w:cs="Arial" w:eastAsia="Arial" w:hAnsi="Arial"/>
                <w:sz w:val="24"/>
                <w:szCs w:val="24"/>
              </w:rPr>
              <w:t xml:space="preserve">Which body parts have the smallest two-point discrimination threshold — and therefore the greatest touch sensitivity?</w:t>
            </w:r>
          </w:p>
        </w:tc>
      </w:tr>
    </w:tbl>
    <w:p>
      <w:pPr>
        <w:spacing w:after="1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1A5276" w:val="clear"/>
            <w:tcMar>
              <w:top w:type="dxa" w:w="100"/>
              <w:left w:type="dxa" w:w="180"/>
              <w:bottom w:type="dxa" w:w="100"/>
              <w:right w:type="dxa" w:w="180"/>
            </w:tcMar>
          </w:tcPr>
          <w:p>
            <w:r>
              <w:rPr>
                <w:rFonts w:ascii="Arial" w:cs="Arial" w:eastAsia="Arial" w:hAnsi="Arial"/>
                <w:b/>
                <w:bCs/>
                <w:color w:val="FFFFFF"/>
                <w:sz w:val="26"/>
                <w:szCs w:val="26"/>
              </w:rPr>
              <w:t xml:space="preserve">💡 Hypothesis</w:t>
            </w:r>
          </w:p>
        </w:tc>
      </w:tr>
      <w:tr>
        <w:tc>
          <w:tcPr>
            <w:tcW w:type="dxa" w:w="9360"/>
            <w:tcBorders>
              <w:top w:val="single" w:color="CCCCCC" w:sz="1"/>
              <w:left w:val="single" w:color="CCCCCC" w:sz="1"/>
              <w:bottom w:val="single" w:color="CCCCCC" w:sz="1"/>
              <w:right w:val="single" w:color="CCCCCC" w:sz="1"/>
            </w:tcBorders>
            <w:shd w:fill="EAF4FB" w:val="clear"/>
            <w:tcMar>
              <w:top w:type="dxa" w:w="120"/>
              <w:left w:type="dxa" w:w="180"/>
              <w:bottom w:type="dxa" w:w="120"/>
              <w:right w:type="dxa" w:w="180"/>
            </w:tcMar>
          </w:tcPr>
          <w:p>
            <w:pPr>
              <w:spacing w:after="120"/>
            </w:pPr>
            <w:r>
              <w:rPr>
                <w:rFonts w:ascii="Arial" w:cs="Arial" w:eastAsia="Arial" w:hAnsi="Arial"/>
                <w:b w:val="false"/>
                <w:bCs w:val="false"/>
                <w:i w:val="false"/>
                <w:iCs w:val="false"/>
                <w:color w:val="1C1C1C"/>
                <w:sz w:val="22"/>
                <w:szCs w:val="22"/>
              </w:rPr>
              <w:t xml:space="preserve">A hypothesis is your educated prediction before the experiment. Think about which body parts you use most for fine tasks (like fingers for reading, lips for speaking) and which you use less precisely.</w:t>
            </w:r>
          </w:p>
          <w:p>
            <w:pPr>
              <w:spacing w:after="160"/>
            </w:pPr>
          </w:p>
          <w:p>
            <w:pPr>
              <w:spacing w:after="120"/>
            </w:pPr>
            <w:r>
              <w:rPr>
                <w:rFonts w:ascii="Arial" w:cs="Arial" w:eastAsia="Arial" w:hAnsi="Arial"/>
                <w:b w:val="false"/>
                <w:bCs w:val="false"/>
                <w:i/>
                <w:iCs/>
                <w:color w:val="1C1C1C"/>
                <w:sz w:val="22"/>
                <w:szCs w:val="22"/>
              </w:rPr>
              <w:t xml:space="preserve">I predict that the ________________________ will have the smallest two-point threshold (best sensitivity), and the ________________________ will have the largest threshold (least sensitive), because ________________________.</w:t>
            </w:r>
          </w:p>
        </w:tc>
      </w:tr>
    </w:tbl>
    <w:p>
      <w:pPr>
        <w:spacing w:after="1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1A5276" w:val="clear"/>
            <w:tcMar>
              <w:top w:type="dxa" w:w="100"/>
              <w:left w:type="dxa" w:w="180"/>
              <w:bottom w:type="dxa" w:w="100"/>
              <w:right w:type="dxa" w:w="180"/>
            </w:tcMar>
          </w:tcPr>
          <w:p>
            <w:r>
              <w:rPr>
                <w:rFonts w:ascii="Arial" w:cs="Arial" w:eastAsia="Arial" w:hAnsi="Arial"/>
                <w:b/>
                <w:bCs/>
                <w:color w:val="FFFFFF"/>
                <w:sz w:val="26"/>
                <w:szCs w:val="26"/>
              </w:rPr>
              <w:t xml:space="preserve">🧪 Materials</w:t>
            </w:r>
          </w:p>
        </w:tc>
      </w:tr>
      <w:tr>
        <w:tc>
          <w:tcPr>
            <w:tcW w:type="dxa" w:w="9360"/>
            <w:tcBorders>
              <w:top w:val="single" w:color="CCCCCC" w:sz="1"/>
              <w:left w:val="single" w:color="CCCCCC" w:sz="1"/>
              <w:bottom w:val="single" w:color="CCCCCC" w:sz="1"/>
              <w:right w:val="single" w:color="CCCCCC" w:sz="1"/>
            </w:tcBorders>
            <w:shd w:fill="EAF4FB" w:val="clear"/>
            <w:tcMar>
              <w:top w:type="dxa" w:w="120"/>
              <w:left w:type="dxa" w:w="180"/>
              <w:bottom w:type="dxa" w:w="120"/>
              <w:right w:type="dxa" w:w="180"/>
            </w:tcMar>
          </w:tcPr>
          <w:p>
            <w:pPr>
              <w:spacing w:after="120"/>
            </w:pPr>
            <w:r>
              <w:rPr>
                <w:rFonts w:ascii="Arial" w:cs="Arial" w:eastAsia="Arial" w:hAnsi="Arial"/>
                <w:b/>
                <w:bCs/>
                <w:i w:val="false"/>
                <w:iCs w:val="false"/>
                <w:color w:val="1C1C1C"/>
                <w:sz w:val="22"/>
                <w:szCs w:val="22"/>
              </w:rPr>
              <w:t xml:space="preserve">Provided in your kit:</w:t>
            </w:r>
          </w:p>
          <w:p>
            <w:pPr>
              <w:pStyle w:val="ListParagraph"/>
              <w:numPr>
                <w:ilvl w:val="0"/>
                <w:numId w:val="2"/>
              </w:numPr>
              <w:spacing w:after="80"/>
            </w:pPr>
            <w:r>
              <w:rPr>
                <w:rFonts w:ascii="Arial" w:cs="Arial" w:eastAsia="Arial" w:hAnsi="Arial"/>
                <w:color w:val="1C1C1C"/>
                <w:sz w:val="22"/>
                <w:szCs w:val="22"/>
              </w:rPr>
              <w:t xml:space="preserve">Homunculus measurement card (with prongs at distances: 30 mm, 15 mm, 7.5 mm, 3.75 mm)</w:t>
            </w:r>
          </w:p>
          <w:p>
            <w:pPr>
              <w:spacing w:after="160"/>
            </w:pPr>
          </w:p>
          <w:p>
            <w:pPr>
              <w:spacing w:after="120"/>
            </w:pPr>
            <w:r>
              <w:rPr>
                <w:rFonts w:ascii="Arial" w:cs="Arial" w:eastAsia="Arial" w:hAnsi="Arial"/>
                <w:b/>
                <w:bCs/>
                <w:i w:val="false"/>
                <w:iCs w:val="false"/>
                <w:color w:val="1C1C1C"/>
                <w:sz w:val="22"/>
                <w:szCs w:val="22"/>
              </w:rPr>
              <w:t xml:space="preserve">You will need from home:</w:t>
            </w:r>
          </w:p>
          <w:p>
            <w:pPr>
              <w:pStyle w:val="ListParagraph"/>
              <w:numPr>
                <w:ilvl w:val="0"/>
                <w:numId w:val="2"/>
              </w:numPr>
              <w:spacing w:after="80"/>
            </w:pPr>
            <w:r>
              <w:rPr>
                <w:rFonts w:ascii="Arial" w:cs="Arial" w:eastAsia="Arial" w:hAnsi="Arial"/>
                <w:color w:val="1C1C1C"/>
                <w:sz w:val="22"/>
                <w:szCs w:val="22"/>
              </w:rPr>
              <w:t xml:space="preserve">A blindfold or sleep mask</w:t>
            </w:r>
          </w:p>
          <w:p>
            <w:pPr>
              <w:pStyle w:val="ListParagraph"/>
              <w:numPr>
                <w:ilvl w:val="0"/>
                <w:numId w:val="2"/>
              </w:numPr>
              <w:spacing w:after="80"/>
            </w:pPr>
            <w:r>
              <w:rPr>
                <w:rFonts w:ascii="Arial" w:cs="Arial" w:eastAsia="Arial" w:hAnsi="Arial"/>
                <w:color w:val="1C1C1C"/>
                <w:sz w:val="22"/>
                <w:szCs w:val="22"/>
              </w:rPr>
              <w:t xml:space="preserve">A willing friend or family member (at least 2 test subjects in addition to yourself)</w:t>
            </w:r>
          </w:p>
          <w:p>
            <w:pPr>
              <w:pStyle w:val="ListParagraph"/>
              <w:numPr>
                <w:ilvl w:val="0"/>
                <w:numId w:val="2"/>
              </w:numPr>
              <w:spacing w:after="80"/>
            </w:pPr>
            <w:r>
              <w:rPr>
                <w:rFonts w:ascii="Arial" w:cs="Arial" w:eastAsia="Arial" w:hAnsi="Arial"/>
                <w:color w:val="1C1C1C"/>
                <w:sz w:val="22"/>
                <w:szCs w:val="22"/>
              </w:rPr>
              <w:t xml:space="preserve">A computer or phone (to enter results at brainmapper.org)</w:t>
            </w:r>
          </w:p>
          <w:p>
            <w:pPr>
              <w:pStyle w:val="ListParagraph"/>
              <w:numPr>
                <w:ilvl w:val="0"/>
                <w:numId w:val="2"/>
              </w:numPr>
              <w:spacing w:after="80"/>
            </w:pPr>
            <w:r>
              <w:rPr>
                <w:rFonts w:ascii="Arial" w:cs="Arial" w:eastAsia="Arial" w:hAnsi="Arial"/>
                <w:color w:val="1C1C1C"/>
                <w:sz w:val="22"/>
                <w:szCs w:val="22"/>
              </w:rPr>
              <w:t xml:space="preserve">This handout and a pencil</w:t>
            </w:r>
          </w:p>
        </w:tc>
      </w:tr>
    </w:tbl>
    <w:p>
      <w:pPr>
        <w:spacing w:after="1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1A5276" w:val="clear"/>
            <w:tcMar>
              <w:top w:type="dxa" w:w="100"/>
              <w:left w:type="dxa" w:w="180"/>
              <w:bottom w:type="dxa" w:w="100"/>
              <w:right w:type="dxa" w:w="180"/>
            </w:tcMar>
          </w:tcPr>
          <w:p>
            <w:r>
              <w:rPr>
                <w:rFonts w:ascii="Arial" w:cs="Arial" w:eastAsia="Arial" w:hAnsi="Arial"/>
                <w:b/>
                <w:bCs/>
                <w:color w:val="FFFFFF"/>
                <w:sz w:val="26"/>
                <w:szCs w:val="26"/>
              </w:rPr>
              <w:t xml:space="preserve">⚠️ Safety Notes</w:t>
            </w:r>
          </w:p>
        </w:tc>
      </w:tr>
      <w:tr>
        <w:tc>
          <w:tcPr>
            <w:tcW w:type="dxa" w:w="9360"/>
            <w:tcBorders>
              <w:top w:val="single" w:color="CCCCCC" w:sz="1"/>
              <w:left w:val="single" w:color="CCCCCC" w:sz="1"/>
              <w:bottom w:val="single" w:color="CCCCCC" w:sz="1"/>
              <w:right w:val="single" w:color="CCCCCC" w:sz="1"/>
            </w:tcBorders>
            <w:shd w:fill="EAF4FB" w:val="clear"/>
            <w:tcMar>
              <w:top w:type="dxa" w:w="120"/>
              <w:left w:type="dxa" w:w="180"/>
              <w:bottom w:type="dxa" w:w="120"/>
              <w:right w:type="dxa" w:w="180"/>
            </w:tcMar>
          </w:tcPr>
          <w:p>
            <w:pPr>
              <w:pStyle w:val="ListParagraph"/>
              <w:numPr>
                <w:ilvl w:val="0"/>
                <w:numId w:val="2"/>
              </w:numPr>
              <w:spacing w:after="80"/>
            </w:pPr>
            <w:r>
              <w:rPr>
                <w:rFonts w:ascii="Arial" w:cs="Arial" w:eastAsia="Arial" w:hAnsi="Arial"/>
                <w:color w:val="1C1C1C"/>
                <w:sz w:val="22"/>
                <w:szCs w:val="22"/>
              </w:rPr>
              <w:t xml:space="preserve">Always ask for permission before touching anyone. Explain what you are doing and confirm they are comfortable.</w:t>
            </w:r>
          </w:p>
          <w:p>
            <w:pPr>
              <w:pStyle w:val="ListParagraph"/>
              <w:numPr>
                <w:ilvl w:val="0"/>
                <w:numId w:val="2"/>
              </w:numPr>
              <w:spacing w:after="80"/>
            </w:pPr>
            <w:r>
              <w:rPr>
                <w:rFonts w:ascii="Arial" w:cs="Arial" w:eastAsia="Arial" w:hAnsi="Arial"/>
                <w:color w:val="1C1C1C"/>
                <w:sz w:val="22"/>
                <w:szCs w:val="22"/>
              </w:rPr>
              <w:t xml:space="preserve">Apply gentle, light pressure only. This experiment should never cause pain.</w:t>
            </w:r>
          </w:p>
          <w:p>
            <w:pPr>
              <w:pStyle w:val="ListParagraph"/>
              <w:numPr>
                <w:ilvl w:val="0"/>
                <w:numId w:val="2"/>
              </w:numPr>
              <w:spacing w:after="80"/>
            </w:pPr>
            <w:r>
              <w:rPr>
                <w:rFonts w:ascii="Arial" w:cs="Arial" w:eastAsia="Arial" w:hAnsi="Arial"/>
                <w:color w:val="1C1C1C"/>
                <w:sz w:val="22"/>
                <w:szCs w:val="22"/>
              </w:rPr>
              <w:t xml:space="preserve">Do not press the measurement card into the face, neck, or any sensitive area. Test only the body regions listed in the methods.</w:t>
            </w:r>
          </w:p>
          <w:p>
            <w:pPr>
              <w:pStyle w:val="ListParagraph"/>
              <w:numPr>
                <w:ilvl w:val="0"/>
                <w:numId w:val="2"/>
              </w:numPr>
              <w:spacing w:after="80"/>
            </w:pPr>
            <w:r>
              <w:rPr>
                <w:rFonts w:ascii="Arial" w:cs="Arial" w:eastAsia="Arial" w:hAnsi="Arial"/>
                <w:color w:val="1C1C1C"/>
                <w:sz w:val="22"/>
                <w:szCs w:val="22"/>
              </w:rPr>
              <w:t xml:space="preserve">If a subject says stop at any point, stop immediately.</w:t>
            </w:r>
          </w:p>
        </w:tc>
      </w:tr>
    </w:tbl>
    <w:p>
      <w:pPr>
        <w:spacing w:after="1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1A5276" w:val="clear"/>
            <w:tcMar>
              <w:top w:type="dxa" w:w="100"/>
              <w:left w:type="dxa" w:w="180"/>
              <w:bottom w:type="dxa" w:w="100"/>
              <w:right w:type="dxa" w:w="180"/>
            </w:tcMar>
          </w:tcPr>
          <w:p>
            <w:r>
              <w:rPr>
                <w:rFonts w:ascii="Arial" w:cs="Arial" w:eastAsia="Arial" w:hAnsi="Arial"/>
                <w:b/>
                <w:bCs/>
                <w:color w:val="FFFFFF"/>
                <w:sz w:val="26"/>
                <w:szCs w:val="26"/>
              </w:rPr>
              <w:t xml:space="preserve">🔬 Methods — Step by Step</w:t>
            </w:r>
          </w:p>
        </w:tc>
      </w:tr>
      <w:tr>
        <w:tc>
          <w:tcPr>
            <w:tcW w:type="dxa" w:w="9360"/>
            <w:tcBorders>
              <w:top w:val="single" w:color="CCCCCC" w:sz="1"/>
              <w:left w:val="single" w:color="CCCCCC" w:sz="1"/>
              <w:bottom w:val="single" w:color="CCCCCC" w:sz="1"/>
              <w:right w:val="single" w:color="CCCCCC" w:sz="1"/>
            </w:tcBorders>
            <w:shd w:fill="EAF4FB" w:val="clear"/>
            <w:tcMar>
              <w:top w:type="dxa" w:w="120"/>
              <w:left w:type="dxa" w:w="180"/>
              <w:bottom w:type="dxa" w:w="120"/>
              <w:right w:type="dxa" w:w="180"/>
            </w:tcMar>
          </w:tcPr>
          <w:p>
            <w:pPr>
              <w:spacing w:after="120"/>
            </w:pPr>
            <w:r>
              <w:rPr>
                <w:rFonts w:ascii="Arial" w:cs="Arial" w:eastAsia="Arial" w:hAnsi="Arial"/>
                <w:b/>
                <w:bCs/>
                <w:i w:val="false"/>
                <w:iCs w:val="false"/>
                <w:color w:val="1C1C1C"/>
                <w:sz w:val="22"/>
                <w:szCs w:val="22"/>
              </w:rPr>
              <w:t xml:space="preserve">Part 1: Setting Up</w:t>
            </w:r>
          </w:p>
          <w:p>
            <w:pPr>
              <w:pStyle w:val="ListParagraph"/>
              <w:numPr>
                <w:ilvl w:val="0"/>
                <w:numId w:val="3"/>
              </w:numPr>
              <w:spacing w:after="80"/>
            </w:pPr>
            <w:r>
              <w:rPr>
                <w:rFonts w:ascii="Arial" w:cs="Arial" w:eastAsia="Arial" w:hAnsi="Arial"/>
                <w:color w:val="1C1C1C"/>
                <w:sz w:val="22"/>
                <w:szCs w:val="22"/>
              </w:rPr>
              <w:t xml:space="preserve">Find a willing test subject (friend or family member). Explain the experiment and confirm they are comfortable participating.</w:t>
            </w:r>
          </w:p>
          <w:p>
            <w:pPr>
              <w:pStyle w:val="ListParagraph"/>
              <w:numPr>
                <w:ilvl w:val="0"/>
                <w:numId w:val="3"/>
              </w:numPr>
              <w:spacing w:after="80"/>
            </w:pPr>
            <w:r>
              <w:rPr>
                <w:rFonts w:ascii="Arial" w:cs="Arial" w:eastAsia="Arial" w:hAnsi="Arial"/>
                <w:color w:val="1C1C1C"/>
                <w:sz w:val="22"/>
                <w:szCs w:val="22"/>
              </w:rPr>
              <w:t xml:space="preserve">Have the subject sit comfortably. Place the blindfold on them so they cannot see what you are doing.</w:t>
            </w:r>
          </w:p>
          <w:p>
            <w:pPr>
              <w:spacing w:after="160"/>
            </w:pPr>
          </w:p>
          <w:p>
            <w:pPr>
              <w:spacing w:after="120"/>
            </w:pPr>
            <w:r>
              <w:rPr>
                <w:rFonts w:ascii="Arial" w:cs="Arial" w:eastAsia="Arial" w:hAnsi="Arial"/>
                <w:b/>
                <w:bCs/>
                <w:i w:val="false"/>
                <w:iCs w:val="false"/>
                <w:color w:val="1C1C1C"/>
                <w:sz w:val="22"/>
                <w:szCs w:val="22"/>
              </w:rPr>
              <w:t xml:space="preserve">Part 2: Testing Each Body Part</w:t>
            </w:r>
          </w:p>
          <w:p>
            <w:pPr>
              <w:pStyle w:val="ListParagraph"/>
              <w:numPr>
                <w:ilvl w:val="0"/>
                <w:numId w:val="3"/>
              </w:numPr>
              <w:spacing w:after="80"/>
            </w:pPr>
            <w:r>
              <w:rPr>
                <w:rFonts w:ascii="Arial" w:cs="Arial" w:eastAsia="Arial" w:hAnsi="Arial"/>
                <w:color w:val="1C1C1C"/>
                <w:sz w:val="22"/>
                <w:szCs w:val="22"/>
              </w:rPr>
              <w:t xml:space="preserve">Start with the largest prong distance on the measurement card (30 mm).</w:t>
            </w:r>
          </w:p>
          <w:p>
            <w:pPr>
              <w:pStyle w:val="ListParagraph"/>
              <w:numPr>
                <w:ilvl w:val="0"/>
                <w:numId w:val="3"/>
              </w:numPr>
              <w:spacing w:after="80"/>
            </w:pPr>
            <w:r>
              <w:rPr>
                <w:rFonts w:ascii="Arial" w:cs="Arial" w:eastAsia="Arial" w:hAnsi="Arial"/>
                <w:color w:val="1C1C1C"/>
                <w:sz w:val="22"/>
                <w:szCs w:val="22"/>
              </w:rPr>
              <w:t xml:space="preserve">Gently press both prong tips onto the skin at the same time. Ask: 'Do you feel one point or two?'</w:t>
            </w:r>
          </w:p>
          <w:p>
            <w:pPr>
              <w:pStyle w:val="ListParagraph"/>
              <w:numPr>
                <w:ilvl w:val="0"/>
                <w:numId w:val="3"/>
              </w:numPr>
              <w:spacing w:after="80"/>
            </w:pPr>
            <w:r>
              <w:rPr>
                <w:rFonts w:ascii="Arial" w:cs="Arial" w:eastAsia="Arial" w:hAnsi="Arial"/>
                <w:color w:val="1C1C1C"/>
                <w:sz w:val="22"/>
                <w:szCs w:val="22"/>
              </w:rPr>
              <w:t xml:space="preserve">If they say two, move to the next smaller size (15 mm). Keep decreasing until they can only feel one point.</w:t>
            </w:r>
          </w:p>
          <w:p>
            <w:pPr>
              <w:pStyle w:val="ListParagraph"/>
              <w:numPr>
                <w:ilvl w:val="0"/>
                <w:numId w:val="3"/>
              </w:numPr>
              <w:spacing w:after="80"/>
            </w:pPr>
            <w:r>
              <w:rPr>
                <w:rFonts w:ascii="Arial" w:cs="Arial" w:eastAsia="Arial" w:hAnsi="Arial"/>
                <w:color w:val="1C1C1C"/>
                <w:sz w:val="22"/>
                <w:szCs w:val="22"/>
              </w:rPr>
              <w:t xml:space="preserve">Once they say 'one,' go back to the previous (larger) size to confirm. Record the smallest distance at which they reliably feel two points as their threshold.</w:t>
            </w:r>
          </w:p>
          <w:p>
            <w:pPr>
              <w:pStyle w:val="ListParagraph"/>
              <w:numPr>
                <w:ilvl w:val="0"/>
                <w:numId w:val="3"/>
              </w:numPr>
              <w:spacing w:after="80"/>
            </w:pPr>
            <w:r>
              <w:rPr>
                <w:rFonts w:ascii="Arial" w:cs="Arial" w:eastAsia="Arial" w:hAnsi="Arial"/>
                <w:color w:val="1C1C1C"/>
                <w:sz w:val="22"/>
                <w:szCs w:val="22"/>
              </w:rPr>
              <w:t xml:space="preserve">Test each body part 3 times and record all three trials. Calculate the average.</w:t>
            </w:r>
          </w:p>
          <w:p>
            <w:pPr>
              <w:pStyle w:val="ListParagraph"/>
              <w:numPr>
                <w:ilvl w:val="0"/>
                <w:numId w:val="4"/>
              </w:numPr>
              <w:spacing w:after="80"/>
            </w:pPr>
            <w:r>
              <w:rPr>
                <w:rFonts w:ascii="Arial" w:cs="Arial" w:eastAsia="Arial" w:hAnsi="Arial"/>
                <w:color w:val="1C1C1C"/>
                <w:sz w:val="22"/>
                <w:szCs w:val="22"/>
              </w:rPr>
              <w:t xml:space="preserve">Test all 6 body parts:</w:t>
            </w:r>
          </w:p>
          <w:p>
            <w:pPr>
              <w:pStyle w:val="ListParagraph"/>
              <w:numPr>
                <w:ilvl w:val="0"/>
                <w:numId w:val="5"/>
              </w:numPr>
              <w:spacing w:after="80"/>
            </w:pPr>
            <w:r>
              <w:rPr>
                <w:rFonts w:ascii="Arial" w:cs="Arial" w:eastAsia="Arial" w:hAnsi="Arial"/>
                <w:color w:val="1C1C1C"/>
                <w:sz w:val="22"/>
                <w:szCs w:val="22"/>
              </w:rPr>
              <w:t xml:space="preserve">Forehead</w:t>
            </w:r>
          </w:p>
          <w:p>
            <w:pPr>
              <w:pStyle w:val="ListParagraph"/>
              <w:numPr>
                <w:ilvl w:val="0"/>
                <w:numId w:val="5"/>
              </w:numPr>
              <w:spacing w:after="80"/>
            </w:pPr>
            <w:r>
              <w:rPr>
                <w:rFonts w:ascii="Arial" w:cs="Arial" w:eastAsia="Arial" w:hAnsi="Arial"/>
                <w:color w:val="1C1C1C"/>
                <w:sz w:val="22"/>
                <w:szCs w:val="22"/>
              </w:rPr>
              <w:t xml:space="preserve">Upper back</w:t>
            </w:r>
          </w:p>
          <w:p>
            <w:pPr>
              <w:pStyle w:val="ListParagraph"/>
              <w:numPr>
                <w:ilvl w:val="0"/>
                <w:numId w:val="5"/>
              </w:numPr>
              <w:spacing w:after="80"/>
            </w:pPr>
            <w:r>
              <w:rPr>
                <w:rFonts w:ascii="Arial" w:cs="Arial" w:eastAsia="Arial" w:hAnsi="Arial"/>
                <w:color w:val="1C1C1C"/>
                <w:sz w:val="22"/>
                <w:szCs w:val="22"/>
              </w:rPr>
              <w:t xml:space="preserve">Upper arm</w:t>
            </w:r>
          </w:p>
          <w:p>
            <w:pPr>
              <w:pStyle w:val="ListParagraph"/>
              <w:numPr>
                <w:ilvl w:val="0"/>
                <w:numId w:val="5"/>
              </w:numPr>
              <w:spacing w:after="80"/>
            </w:pPr>
            <w:r>
              <w:rPr>
                <w:rFonts w:ascii="Arial" w:cs="Arial" w:eastAsia="Arial" w:hAnsi="Arial"/>
                <w:color w:val="1C1C1C"/>
                <w:sz w:val="22"/>
                <w:szCs w:val="22"/>
              </w:rPr>
              <w:t xml:space="preserve">Palm of hand</w:t>
            </w:r>
          </w:p>
          <w:p>
            <w:pPr>
              <w:pStyle w:val="ListParagraph"/>
              <w:numPr>
                <w:ilvl w:val="0"/>
                <w:numId w:val="5"/>
              </w:numPr>
              <w:spacing w:after="80"/>
            </w:pPr>
            <w:r>
              <w:rPr>
                <w:rFonts w:ascii="Arial" w:cs="Arial" w:eastAsia="Arial" w:hAnsi="Arial"/>
                <w:color w:val="1C1C1C"/>
                <w:sz w:val="22"/>
                <w:szCs w:val="22"/>
              </w:rPr>
              <w:t xml:space="preserve">Leg (calf)</w:t>
            </w:r>
          </w:p>
          <w:p>
            <w:pPr>
              <w:pStyle w:val="ListParagraph"/>
              <w:numPr>
                <w:ilvl w:val="0"/>
                <w:numId w:val="5"/>
              </w:numPr>
              <w:spacing w:after="80"/>
            </w:pPr>
            <w:r>
              <w:rPr>
                <w:rFonts w:ascii="Arial" w:cs="Arial" w:eastAsia="Arial" w:hAnsi="Arial"/>
                <w:color w:val="1C1C1C"/>
                <w:sz w:val="22"/>
                <w:szCs w:val="22"/>
              </w:rPr>
              <w:t xml:space="preserve">Top of foot (with sock on)</w:t>
            </w:r>
          </w:p>
          <w:p>
            <w:pPr>
              <w:spacing w:after="160"/>
            </w:pPr>
          </w:p>
          <w:p>
            <w:pPr>
              <w:spacing w:after="120"/>
            </w:pPr>
            <w:r>
              <w:rPr>
                <w:rFonts w:ascii="Arial" w:cs="Arial" w:eastAsia="Arial" w:hAnsi="Arial"/>
                <w:b/>
                <w:bCs/>
                <w:i w:val="false"/>
                <w:iCs w:val="false"/>
                <w:color w:val="1C1C1C"/>
                <w:sz w:val="22"/>
                <w:szCs w:val="22"/>
              </w:rPr>
              <w:t xml:space="preserve">Part 3: Testing Additional Subjects</w:t>
            </w:r>
          </w:p>
          <w:p>
            <w:pPr>
              <w:pStyle w:val="ListParagraph"/>
              <w:numPr>
                <w:ilvl w:val="0"/>
                <w:numId w:val="4"/>
              </w:numPr>
              <w:spacing w:after="80"/>
            </w:pPr>
            <w:r>
              <w:rPr>
                <w:rFonts w:ascii="Arial" w:cs="Arial" w:eastAsia="Arial" w:hAnsi="Arial"/>
                <w:color w:val="1C1C1C"/>
                <w:sz w:val="22"/>
                <w:szCs w:val="22"/>
              </w:rPr>
              <w:t xml:space="preserve">Repeat the full test with 2 more subjects (for a total of 3). Record each subject's data separately in the table.</w:t>
            </w:r>
          </w:p>
          <w:p>
            <w:pPr>
              <w:spacing w:after="160"/>
            </w:pPr>
          </w:p>
          <w:p>
            <w:pPr>
              <w:spacing w:after="120"/>
            </w:pPr>
            <w:r>
              <w:rPr>
                <w:rFonts w:ascii="Arial" w:cs="Arial" w:eastAsia="Arial" w:hAnsi="Arial"/>
                <w:b/>
                <w:bCs/>
                <w:i w:val="false"/>
                <w:iCs w:val="false"/>
                <w:color w:val="1C1C1C"/>
                <w:sz w:val="22"/>
                <w:szCs w:val="22"/>
              </w:rPr>
              <w:t xml:space="preserve">Part 4: BrainMapper Visualization</w:t>
            </w:r>
          </w:p>
          <w:p>
            <w:pPr>
              <w:pStyle w:val="ListParagraph"/>
              <w:numPr>
                <w:ilvl w:val="0"/>
                <w:numId w:val="4"/>
              </w:numPr>
              <w:spacing w:after="80"/>
            </w:pPr>
            <w:r>
              <w:rPr>
                <w:rFonts w:ascii="Arial" w:cs="Arial" w:eastAsia="Arial" w:hAnsi="Arial"/>
                <w:color w:val="1C1C1C"/>
                <w:sz w:val="22"/>
                <w:szCs w:val="22"/>
              </w:rPr>
              <w:t xml:space="preserve">For each test subject, go to brainmapper.org/experiment/ and click Results.</w:t>
            </w:r>
          </w:p>
          <w:p>
            <w:pPr>
              <w:pStyle w:val="ListParagraph"/>
              <w:numPr>
                <w:ilvl w:val="0"/>
                <w:numId w:val="4"/>
              </w:numPr>
              <w:spacing w:after="80"/>
            </w:pPr>
            <w:r>
              <w:rPr>
                <w:rFonts w:ascii="Arial" w:cs="Arial" w:eastAsia="Arial" w:hAnsi="Arial"/>
                <w:color w:val="1C1C1C"/>
                <w:sz w:val="22"/>
                <w:szCs w:val="22"/>
              </w:rPr>
              <w:t xml:space="preserve">Enter the average threshold (in mm) for each body part. The website will generate a personalized homunculus diagram — a visual of that person's brain's body map.</w:t>
            </w:r>
          </w:p>
          <w:p>
            <w:pPr>
              <w:pStyle w:val="ListParagraph"/>
              <w:numPr>
                <w:ilvl w:val="0"/>
                <w:numId w:val="4"/>
              </w:numPr>
              <w:spacing w:after="80"/>
            </w:pPr>
            <w:r>
              <w:rPr>
                <w:rFonts w:ascii="Arial" w:cs="Arial" w:eastAsia="Arial" w:hAnsi="Arial"/>
                <w:color w:val="1C1C1C"/>
                <w:sz w:val="22"/>
                <w:szCs w:val="22"/>
              </w:rPr>
              <w:t xml:space="preserve">Take a screenshot or photograph of each subject's homunculus. Compare the three diagrams.</w:t>
            </w:r>
          </w:p>
        </w:tc>
      </w:tr>
    </w:tbl>
    <w:p>
      <w:pPr>
        <w:spacing w:after="1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1A5276" w:val="clear"/>
            <w:tcMar>
              <w:top w:type="dxa" w:w="100"/>
              <w:left w:type="dxa" w:w="180"/>
              <w:bottom w:type="dxa" w:w="100"/>
              <w:right w:type="dxa" w:w="180"/>
            </w:tcMar>
          </w:tcPr>
          <w:p>
            <w:r>
              <w:rPr>
                <w:rFonts w:ascii="Arial" w:cs="Arial" w:eastAsia="Arial" w:hAnsi="Arial"/>
                <w:b/>
                <w:bCs/>
                <w:color w:val="FFFFFF"/>
                <w:sz w:val="26"/>
                <w:szCs w:val="26"/>
              </w:rPr>
              <w:t xml:space="preserve">📊 Data Table — Record Your Results</w:t>
            </w:r>
          </w:p>
        </w:tc>
      </w:tr>
      <w:tr>
        <w:tc>
          <w:tcPr>
            <w:tcW w:type="dxa" w:w="9360"/>
            <w:tcBorders>
              <w:top w:val="single" w:color="CCCCCC" w:sz="1"/>
              <w:left w:val="single" w:color="CCCCCC" w:sz="1"/>
              <w:bottom w:val="single" w:color="CCCCCC" w:sz="1"/>
              <w:right w:val="single" w:color="CCCCCC" w:sz="1"/>
            </w:tcBorders>
            <w:shd w:fill="EAF4FB" w:val="clear"/>
            <w:tcMar>
              <w:top w:type="dxa" w:w="120"/>
              <w:left w:type="dxa" w:w="180"/>
              <w:bottom w:type="dxa" w:w="120"/>
              <w:right w:type="dxa" w:w="180"/>
            </w:tcMar>
          </w:tcPr>
          <w:p>
            <w:pPr>
              <w:spacing w:after="120"/>
            </w:pPr>
            <w:r>
              <w:rPr>
                <w:rFonts w:ascii="Arial" w:cs="Arial" w:eastAsia="Arial" w:hAnsi="Arial"/>
                <w:b w:val="false"/>
                <w:bCs w:val="false"/>
                <w:i w:val="false"/>
                <w:iCs w:val="false"/>
                <w:color w:val="1C1C1C"/>
                <w:sz w:val="22"/>
                <w:szCs w:val="22"/>
              </w:rPr>
              <w:t xml:space="preserve">Record all three trials for Subject 1, then average scores for Subjects 2 and 3.</w:t>
            </w:r>
          </w:p>
          <w:p>
            <w:pPr>
              <w:spacing w:after="1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00"/>
              <w:gridCol w:w="1140"/>
              <w:gridCol w:w="1140"/>
              <w:gridCol w:w="1140"/>
              <w:gridCol w:w="1140"/>
              <w:gridCol w:w="1140"/>
              <w:gridCol w:w="860"/>
            </w:tblGrid>
            <w:tr>
              <w:tc>
                <w:tcPr>
                  <w:tcW w:type="dxa" w:w="1800"/>
                  <w:tcBorders>
                    <w:top w:val="single" w:color="CCCCCC" w:sz="1"/>
                    <w:left w:val="single" w:color="CCCCCC" w:sz="1"/>
                    <w:bottom w:val="single" w:color="CCCCCC" w:sz="1"/>
                    <w:right w:val="single" w:color="CCCCCC" w:sz="1"/>
                  </w:tcBorders>
                  <w:shd w:fill="1A5276" w:val="clear"/>
                  <w:tcMar>
                    <w:top w:type="dxa" w:w="80"/>
                    <w:left w:type="dxa" w:w="80"/>
                    <w:bottom w:type="dxa" w:w="80"/>
                    <w:right w:type="dxa" w:w="80"/>
                  </w:tcMar>
                  <w:vAlign w:val="center"/>
                </w:tcPr>
                <w:p>
                  <w:pPr>
                    <w:jc w:val="center"/>
                  </w:pPr>
                  <w:r>
                    <w:rPr>
                      <w:rFonts w:ascii="Arial" w:cs="Arial" w:eastAsia="Arial" w:hAnsi="Arial"/>
                      <w:b/>
                      <w:bCs/>
                      <w:color w:val="FFFFFF"/>
                      <w:sz w:val="17"/>
                      <w:szCs w:val="17"/>
                    </w:rPr>
                    <w:t xml:space="preserve">Body Part</w:t>
                  </w:r>
                </w:p>
              </w:tc>
              <w:tc>
                <w:tcPr>
                  <w:tcW w:type="dxa" w:w="1140"/>
                  <w:tcBorders>
                    <w:top w:val="single" w:color="CCCCCC" w:sz="1"/>
                    <w:left w:val="single" w:color="CCCCCC" w:sz="1"/>
                    <w:bottom w:val="single" w:color="CCCCCC" w:sz="1"/>
                    <w:right w:val="single" w:color="CCCCCC" w:sz="1"/>
                  </w:tcBorders>
                  <w:shd w:fill="1A5276" w:val="clear"/>
                  <w:tcMar>
                    <w:top w:type="dxa" w:w="80"/>
                    <w:left w:type="dxa" w:w="80"/>
                    <w:bottom w:type="dxa" w:w="80"/>
                    <w:right w:type="dxa" w:w="80"/>
                  </w:tcMar>
                  <w:vAlign w:val="center"/>
                </w:tcPr>
                <w:p>
                  <w:pPr>
                    <w:jc w:val="center"/>
                  </w:pPr>
                  <w:r>
                    <w:rPr>
                      <w:rFonts w:ascii="Arial" w:cs="Arial" w:eastAsia="Arial" w:hAnsi="Arial"/>
                      <w:b/>
                      <w:bCs/>
                      <w:color w:val="FFFFFF"/>
                      <w:sz w:val="17"/>
                      <w:szCs w:val="17"/>
                    </w:rPr>
                    <w:t xml:space="preserve">Subject 1
Trial 1 (mm)</w:t>
                  </w:r>
                </w:p>
              </w:tc>
              <w:tc>
                <w:tcPr>
                  <w:tcW w:type="dxa" w:w="1140"/>
                  <w:tcBorders>
                    <w:top w:val="single" w:color="CCCCCC" w:sz="1"/>
                    <w:left w:val="single" w:color="CCCCCC" w:sz="1"/>
                    <w:bottom w:val="single" w:color="CCCCCC" w:sz="1"/>
                    <w:right w:val="single" w:color="CCCCCC" w:sz="1"/>
                  </w:tcBorders>
                  <w:shd w:fill="1A5276" w:val="clear"/>
                  <w:tcMar>
                    <w:top w:type="dxa" w:w="80"/>
                    <w:left w:type="dxa" w:w="80"/>
                    <w:bottom w:type="dxa" w:w="80"/>
                    <w:right w:type="dxa" w:w="80"/>
                  </w:tcMar>
                  <w:vAlign w:val="center"/>
                </w:tcPr>
                <w:p>
                  <w:pPr>
                    <w:jc w:val="center"/>
                  </w:pPr>
                  <w:r>
                    <w:rPr>
                      <w:rFonts w:ascii="Arial" w:cs="Arial" w:eastAsia="Arial" w:hAnsi="Arial"/>
                      <w:b/>
                      <w:bCs/>
                      <w:color w:val="FFFFFF"/>
                      <w:sz w:val="17"/>
                      <w:szCs w:val="17"/>
                    </w:rPr>
                    <w:t xml:space="preserve">Subject 1
Trial 2 (mm)</w:t>
                  </w:r>
                </w:p>
              </w:tc>
              <w:tc>
                <w:tcPr>
                  <w:tcW w:type="dxa" w:w="1140"/>
                  <w:tcBorders>
                    <w:top w:val="single" w:color="CCCCCC" w:sz="1"/>
                    <w:left w:val="single" w:color="CCCCCC" w:sz="1"/>
                    <w:bottom w:val="single" w:color="CCCCCC" w:sz="1"/>
                    <w:right w:val="single" w:color="CCCCCC" w:sz="1"/>
                  </w:tcBorders>
                  <w:shd w:fill="1A5276" w:val="clear"/>
                  <w:tcMar>
                    <w:top w:type="dxa" w:w="80"/>
                    <w:left w:type="dxa" w:w="80"/>
                    <w:bottom w:type="dxa" w:w="80"/>
                    <w:right w:type="dxa" w:w="80"/>
                  </w:tcMar>
                  <w:vAlign w:val="center"/>
                </w:tcPr>
                <w:p>
                  <w:pPr>
                    <w:jc w:val="center"/>
                  </w:pPr>
                  <w:r>
                    <w:rPr>
                      <w:rFonts w:ascii="Arial" w:cs="Arial" w:eastAsia="Arial" w:hAnsi="Arial"/>
                      <w:b/>
                      <w:bCs/>
                      <w:color w:val="FFFFFF"/>
                      <w:sz w:val="17"/>
                      <w:szCs w:val="17"/>
                    </w:rPr>
                    <w:t xml:space="preserve">Subject 1
Trial 3 (mm)</w:t>
                  </w:r>
                </w:p>
              </w:tc>
              <w:tc>
                <w:tcPr>
                  <w:tcW w:type="dxa" w:w="1140"/>
                  <w:tcBorders>
                    <w:top w:val="single" w:color="CCCCCC" w:sz="1"/>
                    <w:left w:val="single" w:color="CCCCCC" w:sz="1"/>
                    <w:bottom w:val="single" w:color="CCCCCC" w:sz="1"/>
                    <w:right w:val="single" w:color="CCCCCC" w:sz="1"/>
                  </w:tcBorders>
                  <w:shd w:fill="1A5276" w:val="clear"/>
                  <w:tcMar>
                    <w:top w:type="dxa" w:w="80"/>
                    <w:left w:type="dxa" w:w="80"/>
                    <w:bottom w:type="dxa" w:w="80"/>
                    <w:right w:type="dxa" w:w="80"/>
                  </w:tcMar>
                  <w:vAlign w:val="center"/>
                </w:tcPr>
                <w:p>
                  <w:pPr>
                    <w:jc w:val="center"/>
                  </w:pPr>
                  <w:r>
                    <w:rPr>
                      <w:rFonts w:ascii="Arial" w:cs="Arial" w:eastAsia="Arial" w:hAnsi="Arial"/>
                      <w:b/>
                      <w:bCs/>
                      <w:color w:val="FFFFFF"/>
                      <w:sz w:val="17"/>
                      <w:szCs w:val="17"/>
                    </w:rPr>
                    <w:t xml:space="preserve">Subject 1
Avg (mm)</w:t>
                  </w:r>
                </w:p>
              </w:tc>
              <w:tc>
                <w:tcPr>
                  <w:tcW w:type="dxa" w:w="1140"/>
                  <w:tcBorders>
                    <w:top w:val="single" w:color="CCCCCC" w:sz="1"/>
                    <w:left w:val="single" w:color="CCCCCC" w:sz="1"/>
                    <w:bottom w:val="single" w:color="CCCCCC" w:sz="1"/>
                    <w:right w:val="single" w:color="CCCCCC" w:sz="1"/>
                  </w:tcBorders>
                  <w:shd w:fill="1A5276" w:val="clear"/>
                  <w:tcMar>
                    <w:top w:type="dxa" w:w="80"/>
                    <w:left w:type="dxa" w:w="80"/>
                    <w:bottom w:type="dxa" w:w="80"/>
                    <w:right w:type="dxa" w:w="80"/>
                  </w:tcMar>
                  <w:vAlign w:val="center"/>
                </w:tcPr>
                <w:p>
                  <w:pPr>
                    <w:jc w:val="center"/>
                  </w:pPr>
                  <w:r>
                    <w:rPr>
                      <w:rFonts w:ascii="Arial" w:cs="Arial" w:eastAsia="Arial" w:hAnsi="Arial"/>
                      <w:b/>
                      <w:bCs/>
                      <w:color w:val="FFFFFF"/>
                      <w:sz w:val="17"/>
                      <w:szCs w:val="17"/>
                    </w:rPr>
                    <w:t xml:space="preserve">Subject 2
Avg (mm)</w:t>
                  </w:r>
                </w:p>
              </w:tc>
              <w:tc>
                <w:tcPr>
                  <w:tcW w:type="dxa" w:w="860"/>
                  <w:tcBorders>
                    <w:top w:val="single" w:color="CCCCCC" w:sz="1"/>
                    <w:left w:val="single" w:color="CCCCCC" w:sz="1"/>
                    <w:bottom w:val="single" w:color="CCCCCC" w:sz="1"/>
                    <w:right w:val="single" w:color="CCCCCC" w:sz="1"/>
                  </w:tcBorders>
                  <w:shd w:fill="1A5276" w:val="clear"/>
                  <w:tcMar>
                    <w:top w:type="dxa" w:w="80"/>
                    <w:left w:type="dxa" w:w="80"/>
                    <w:bottom w:type="dxa" w:w="80"/>
                    <w:right w:type="dxa" w:w="80"/>
                  </w:tcMar>
                  <w:vAlign w:val="center"/>
                </w:tcPr>
                <w:p>
                  <w:pPr>
                    <w:jc w:val="center"/>
                  </w:pPr>
                  <w:r>
                    <w:rPr>
                      <w:rFonts w:ascii="Arial" w:cs="Arial" w:eastAsia="Arial" w:hAnsi="Arial"/>
                      <w:b/>
                      <w:bCs/>
                      <w:color w:val="FFFFFF"/>
                      <w:sz w:val="17"/>
                      <w:szCs w:val="17"/>
                    </w:rPr>
                    <w:t xml:space="preserve">Subject 3
Avg (mm)</w:t>
                  </w:r>
                </w:p>
              </w:tc>
            </w:tr>
            <w:tr>
              <w:tc>
                <w:tcPr>
                  <w:tcW w:type="dxa" w:w="1800"/>
                  <w:tcBorders>
                    <w:top w:val="single" w:color="CCCCCC" w:sz="1"/>
                    <w:left w:val="single" w:color="CCCCCC" w:sz="1"/>
                    <w:bottom w:val="single" w:color="CCCCCC" w:sz="1"/>
                    <w:right w:val="single" w:color="CCCCCC" w:sz="1"/>
                  </w:tcBorders>
                  <w:shd w:fill="FFFFFF" w:val="clear"/>
                  <w:tcMar>
                    <w:top w:type="dxa" w:w="80"/>
                    <w:left w:type="dxa" w:w="80"/>
                    <w:bottom w:type="dxa" w:w="80"/>
                    <w:right w:type="dxa" w:w="80"/>
                  </w:tcMar>
                </w:tcPr>
                <w:p>
                  <w:pPr>
                    <w:jc w:val="center"/>
                  </w:pPr>
                  <w:r>
                    <w:rPr>
                      <w:rFonts w:ascii="Arial" w:cs="Arial" w:eastAsia="Arial" w:hAnsi="Arial"/>
                      <w:sz w:val="19"/>
                      <w:szCs w:val="19"/>
                    </w:rPr>
                    <w:t xml:space="preserve">Forehead</w:t>
                  </w:r>
                </w:p>
              </w:tc>
              <w:tc>
                <w:tcPr>
                  <w:tcW w:type="dxa" w:w="1140"/>
                  <w:tcBorders>
                    <w:top w:val="single" w:color="CCCCCC" w:sz="1"/>
                    <w:left w:val="single" w:color="CCCCCC" w:sz="1"/>
                    <w:bottom w:val="single" w:color="CCCCCC" w:sz="1"/>
                    <w:right w:val="single" w:color="CCCCCC" w:sz="1"/>
                  </w:tcBorders>
                  <w:shd w:fill="FFFFFF" w:val="clear"/>
                  <w:tcMar>
                    <w:top w:type="dxa" w:w="80"/>
                    <w:left w:type="dxa" w:w="80"/>
                    <w:bottom w:type="dxa" w:w="80"/>
                    <w:right w:type="dxa" w:w="80"/>
                  </w:tcMar>
                </w:tcPr>
                <w:p>
                  <w:pPr>
                    <w:jc w:val="center"/>
                  </w:pPr>
                  <w:r>
                    <w:rPr>
                      <w:rFonts w:ascii="Arial" w:cs="Arial" w:eastAsia="Arial" w:hAnsi="Arial"/>
                      <w:sz w:val="19"/>
                      <w:szCs w:val="19"/>
                    </w:rPr>
                    <w:t xml:space="preserve"/>
                  </w:r>
                </w:p>
              </w:tc>
              <w:tc>
                <w:tcPr>
                  <w:tcW w:type="dxa" w:w="1140"/>
                  <w:tcBorders>
                    <w:top w:val="single" w:color="CCCCCC" w:sz="1"/>
                    <w:left w:val="single" w:color="CCCCCC" w:sz="1"/>
                    <w:bottom w:val="single" w:color="CCCCCC" w:sz="1"/>
                    <w:right w:val="single" w:color="CCCCCC" w:sz="1"/>
                  </w:tcBorders>
                  <w:shd w:fill="FFFFFF" w:val="clear"/>
                  <w:tcMar>
                    <w:top w:type="dxa" w:w="80"/>
                    <w:left w:type="dxa" w:w="80"/>
                    <w:bottom w:type="dxa" w:w="80"/>
                    <w:right w:type="dxa" w:w="80"/>
                  </w:tcMar>
                </w:tcPr>
                <w:p>
                  <w:pPr>
                    <w:jc w:val="center"/>
                  </w:pPr>
                  <w:r>
                    <w:rPr>
                      <w:rFonts w:ascii="Arial" w:cs="Arial" w:eastAsia="Arial" w:hAnsi="Arial"/>
                      <w:sz w:val="19"/>
                      <w:szCs w:val="19"/>
                    </w:rPr>
                    <w:t xml:space="preserve"/>
                  </w:r>
                </w:p>
              </w:tc>
              <w:tc>
                <w:tcPr>
                  <w:tcW w:type="dxa" w:w="1140"/>
                  <w:tcBorders>
                    <w:top w:val="single" w:color="CCCCCC" w:sz="1"/>
                    <w:left w:val="single" w:color="CCCCCC" w:sz="1"/>
                    <w:bottom w:val="single" w:color="CCCCCC" w:sz="1"/>
                    <w:right w:val="single" w:color="CCCCCC" w:sz="1"/>
                  </w:tcBorders>
                  <w:shd w:fill="FFFFFF" w:val="clear"/>
                  <w:tcMar>
                    <w:top w:type="dxa" w:w="80"/>
                    <w:left w:type="dxa" w:w="80"/>
                    <w:bottom w:type="dxa" w:w="80"/>
                    <w:right w:type="dxa" w:w="80"/>
                  </w:tcMar>
                </w:tcPr>
                <w:p>
                  <w:pPr>
                    <w:jc w:val="center"/>
                  </w:pPr>
                  <w:r>
                    <w:rPr>
                      <w:rFonts w:ascii="Arial" w:cs="Arial" w:eastAsia="Arial" w:hAnsi="Arial"/>
                      <w:sz w:val="19"/>
                      <w:szCs w:val="19"/>
                    </w:rPr>
                    <w:t xml:space="preserve"/>
                  </w:r>
                </w:p>
              </w:tc>
              <w:tc>
                <w:tcPr>
                  <w:tcW w:type="dxa" w:w="1140"/>
                  <w:tcBorders>
                    <w:top w:val="single" w:color="CCCCCC" w:sz="1"/>
                    <w:left w:val="single" w:color="CCCCCC" w:sz="1"/>
                    <w:bottom w:val="single" w:color="CCCCCC" w:sz="1"/>
                    <w:right w:val="single" w:color="CCCCCC" w:sz="1"/>
                  </w:tcBorders>
                  <w:shd w:fill="FFFFFF" w:val="clear"/>
                  <w:tcMar>
                    <w:top w:type="dxa" w:w="80"/>
                    <w:left w:type="dxa" w:w="80"/>
                    <w:bottom w:type="dxa" w:w="80"/>
                    <w:right w:type="dxa" w:w="80"/>
                  </w:tcMar>
                </w:tcPr>
                <w:p>
                  <w:pPr>
                    <w:jc w:val="center"/>
                  </w:pPr>
                  <w:r>
                    <w:rPr>
                      <w:rFonts w:ascii="Arial" w:cs="Arial" w:eastAsia="Arial" w:hAnsi="Arial"/>
                      <w:sz w:val="19"/>
                      <w:szCs w:val="19"/>
                    </w:rPr>
                    <w:t xml:space="preserve"/>
                  </w:r>
                </w:p>
              </w:tc>
              <w:tc>
                <w:tcPr>
                  <w:tcW w:type="dxa" w:w="1140"/>
                  <w:tcBorders>
                    <w:top w:val="single" w:color="CCCCCC" w:sz="1"/>
                    <w:left w:val="single" w:color="CCCCCC" w:sz="1"/>
                    <w:bottom w:val="single" w:color="CCCCCC" w:sz="1"/>
                    <w:right w:val="single" w:color="CCCCCC" w:sz="1"/>
                  </w:tcBorders>
                  <w:shd w:fill="FFFFFF" w:val="clear"/>
                  <w:tcMar>
                    <w:top w:type="dxa" w:w="80"/>
                    <w:left w:type="dxa" w:w="80"/>
                    <w:bottom w:type="dxa" w:w="80"/>
                    <w:right w:type="dxa" w:w="80"/>
                  </w:tcMar>
                </w:tcPr>
                <w:p>
                  <w:pPr>
                    <w:jc w:val="center"/>
                  </w:pPr>
                  <w:r>
                    <w:rPr>
                      <w:rFonts w:ascii="Arial" w:cs="Arial" w:eastAsia="Arial" w:hAnsi="Arial"/>
                      <w:sz w:val="19"/>
                      <w:szCs w:val="19"/>
                    </w:rPr>
                    <w:t xml:space="preserve"/>
                  </w:r>
                </w:p>
              </w:tc>
              <w:tc>
                <w:tcPr>
                  <w:tcW w:type="dxa" w:w="860"/>
                  <w:tcBorders>
                    <w:top w:val="single" w:color="CCCCCC" w:sz="1"/>
                    <w:left w:val="single" w:color="CCCCCC" w:sz="1"/>
                    <w:bottom w:val="single" w:color="CCCCCC" w:sz="1"/>
                    <w:right w:val="single" w:color="CCCCCC" w:sz="1"/>
                  </w:tcBorders>
                  <w:shd w:fill="FFFFFF" w:val="clear"/>
                  <w:tcMar>
                    <w:top w:type="dxa" w:w="80"/>
                    <w:left w:type="dxa" w:w="80"/>
                    <w:bottom w:type="dxa" w:w="80"/>
                    <w:right w:type="dxa" w:w="80"/>
                  </w:tcMar>
                </w:tcPr>
                <w:p>
                  <w:pPr>
                    <w:jc w:val="center"/>
                  </w:pPr>
                  <w:r>
                    <w:rPr>
                      <w:rFonts w:ascii="Arial" w:cs="Arial" w:eastAsia="Arial" w:hAnsi="Arial"/>
                      <w:sz w:val="19"/>
                      <w:szCs w:val="19"/>
                    </w:rPr>
                    <w:t xml:space="preserve"/>
                  </w:r>
                </w:p>
              </w:tc>
            </w:tr>
            <w:tr>
              <w:tc>
                <w:tcPr>
                  <w:tcW w:type="dxa" w:w="1800"/>
                  <w:tcBorders>
                    <w:top w:val="single" w:color="CCCCCC" w:sz="1"/>
                    <w:left w:val="single" w:color="CCCCCC" w:sz="1"/>
                    <w:bottom w:val="single" w:color="CCCCCC" w:sz="1"/>
                    <w:right w:val="single" w:color="CCCCCC" w:sz="1"/>
                  </w:tcBorders>
                  <w:shd w:fill="D6EAF8" w:val="clear"/>
                  <w:tcMar>
                    <w:top w:type="dxa" w:w="80"/>
                    <w:left w:type="dxa" w:w="80"/>
                    <w:bottom w:type="dxa" w:w="80"/>
                    <w:right w:type="dxa" w:w="80"/>
                  </w:tcMar>
                </w:tcPr>
                <w:p>
                  <w:pPr>
                    <w:jc w:val="center"/>
                  </w:pPr>
                  <w:r>
                    <w:rPr>
                      <w:rFonts w:ascii="Arial" w:cs="Arial" w:eastAsia="Arial" w:hAnsi="Arial"/>
                      <w:sz w:val="19"/>
                      <w:szCs w:val="19"/>
                    </w:rPr>
                    <w:t xml:space="preserve">Upper Back</w:t>
                  </w:r>
                </w:p>
              </w:tc>
              <w:tc>
                <w:tcPr>
                  <w:tcW w:type="dxa" w:w="1140"/>
                  <w:tcBorders>
                    <w:top w:val="single" w:color="CCCCCC" w:sz="1"/>
                    <w:left w:val="single" w:color="CCCCCC" w:sz="1"/>
                    <w:bottom w:val="single" w:color="CCCCCC" w:sz="1"/>
                    <w:right w:val="single" w:color="CCCCCC" w:sz="1"/>
                  </w:tcBorders>
                  <w:shd w:fill="D6EAF8" w:val="clear"/>
                  <w:tcMar>
                    <w:top w:type="dxa" w:w="80"/>
                    <w:left w:type="dxa" w:w="80"/>
                    <w:bottom w:type="dxa" w:w="80"/>
                    <w:right w:type="dxa" w:w="80"/>
                  </w:tcMar>
                </w:tcPr>
                <w:p>
                  <w:pPr>
                    <w:jc w:val="center"/>
                  </w:pPr>
                  <w:r>
                    <w:rPr>
                      <w:rFonts w:ascii="Arial" w:cs="Arial" w:eastAsia="Arial" w:hAnsi="Arial"/>
                      <w:sz w:val="19"/>
                      <w:szCs w:val="19"/>
                    </w:rPr>
                    <w:t xml:space="preserve"/>
                  </w:r>
                </w:p>
              </w:tc>
              <w:tc>
                <w:tcPr>
                  <w:tcW w:type="dxa" w:w="1140"/>
                  <w:tcBorders>
                    <w:top w:val="single" w:color="CCCCCC" w:sz="1"/>
                    <w:left w:val="single" w:color="CCCCCC" w:sz="1"/>
                    <w:bottom w:val="single" w:color="CCCCCC" w:sz="1"/>
                    <w:right w:val="single" w:color="CCCCCC" w:sz="1"/>
                  </w:tcBorders>
                  <w:shd w:fill="D6EAF8" w:val="clear"/>
                  <w:tcMar>
                    <w:top w:type="dxa" w:w="80"/>
                    <w:left w:type="dxa" w:w="80"/>
                    <w:bottom w:type="dxa" w:w="80"/>
                    <w:right w:type="dxa" w:w="80"/>
                  </w:tcMar>
                </w:tcPr>
                <w:p>
                  <w:pPr>
                    <w:jc w:val="center"/>
                  </w:pPr>
                  <w:r>
                    <w:rPr>
                      <w:rFonts w:ascii="Arial" w:cs="Arial" w:eastAsia="Arial" w:hAnsi="Arial"/>
                      <w:sz w:val="19"/>
                      <w:szCs w:val="19"/>
                    </w:rPr>
                    <w:t xml:space="preserve"/>
                  </w:r>
                </w:p>
              </w:tc>
              <w:tc>
                <w:tcPr>
                  <w:tcW w:type="dxa" w:w="1140"/>
                  <w:tcBorders>
                    <w:top w:val="single" w:color="CCCCCC" w:sz="1"/>
                    <w:left w:val="single" w:color="CCCCCC" w:sz="1"/>
                    <w:bottom w:val="single" w:color="CCCCCC" w:sz="1"/>
                    <w:right w:val="single" w:color="CCCCCC" w:sz="1"/>
                  </w:tcBorders>
                  <w:shd w:fill="D6EAF8" w:val="clear"/>
                  <w:tcMar>
                    <w:top w:type="dxa" w:w="80"/>
                    <w:left w:type="dxa" w:w="80"/>
                    <w:bottom w:type="dxa" w:w="80"/>
                    <w:right w:type="dxa" w:w="80"/>
                  </w:tcMar>
                </w:tcPr>
                <w:p>
                  <w:pPr>
                    <w:jc w:val="center"/>
                  </w:pPr>
                  <w:r>
                    <w:rPr>
                      <w:rFonts w:ascii="Arial" w:cs="Arial" w:eastAsia="Arial" w:hAnsi="Arial"/>
                      <w:sz w:val="19"/>
                      <w:szCs w:val="19"/>
                    </w:rPr>
                    <w:t xml:space="preserve"/>
                  </w:r>
                </w:p>
              </w:tc>
              <w:tc>
                <w:tcPr>
                  <w:tcW w:type="dxa" w:w="1140"/>
                  <w:tcBorders>
                    <w:top w:val="single" w:color="CCCCCC" w:sz="1"/>
                    <w:left w:val="single" w:color="CCCCCC" w:sz="1"/>
                    <w:bottom w:val="single" w:color="CCCCCC" w:sz="1"/>
                    <w:right w:val="single" w:color="CCCCCC" w:sz="1"/>
                  </w:tcBorders>
                  <w:shd w:fill="D6EAF8" w:val="clear"/>
                  <w:tcMar>
                    <w:top w:type="dxa" w:w="80"/>
                    <w:left w:type="dxa" w:w="80"/>
                    <w:bottom w:type="dxa" w:w="80"/>
                    <w:right w:type="dxa" w:w="80"/>
                  </w:tcMar>
                </w:tcPr>
                <w:p>
                  <w:pPr>
                    <w:jc w:val="center"/>
                  </w:pPr>
                  <w:r>
                    <w:rPr>
                      <w:rFonts w:ascii="Arial" w:cs="Arial" w:eastAsia="Arial" w:hAnsi="Arial"/>
                      <w:sz w:val="19"/>
                      <w:szCs w:val="19"/>
                    </w:rPr>
                    <w:t xml:space="preserve"/>
                  </w:r>
                </w:p>
              </w:tc>
              <w:tc>
                <w:tcPr>
                  <w:tcW w:type="dxa" w:w="1140"/>
                  <w:tcBorders>
                    <w:top w:val="single" w:color="CCCCCC" w:sz="1"/>
                    <w:left w:val="single" w:color="CCCCCC" w:sz="1"/>
                    <w:bottom w:val="single" w:color="CCCCCC" w:sz="1"/>
                    <w:right w:val="single" w:color="CCCCCC" w:sz="1"/>
                  </w:tcBorders>
                  <w:shd w:fill="D6EAF8" w:val="clear"/>
                  <w:tcMar>
                    <w:top w:type="dxa" w:w="80"/>
                    <w:left w:type="dxa" w:w="80"/>
                    <w:bottom w:type="dxa" w:w="80"/>
                    <w:right w:type="dxa" w:w="80"/>
                  </w:tcMar>
                </w:tcPr>
                <w:p>
                  <w:pPr>
                    <w:jc w:val="center"/>
                  </w:pPr>
                  <w:r>
                    <w:rPr>
                      <w:rFonts w:ascii="Arial" w:cs="Arial" w:eastAsia="Arial" w:hAnsi="Arial"/>
                      <w:sz w:val="19"/>
                      <w:szCs w:val="19"/>
                    </w:rPr>
                    <w:t xml:space="preserve"/>
                  </w:r>
                </w:p>
              </w:tc>
              <w:tc>
                <w:tcPr>
                  <w:tcW w:type="dxa" w:w="860"/>
                  <w:tcBorders>
                    <w:top w:val="single" w:color="CCCCCC" w:sz="1"/>
                    <w:left w:val="single" w:color="CCCCCC" w:sz="1"/>
                    <w:bottom w:val="single" w:color="CCCCCC" w:sz="1"/>
                    <w:right w:val="single" w:color="CCCCCC" w:sz="1"/>
                  </w:tcBorders>
                  <w:shd w:fill="D6EAF8" w:val="clear"/>
                  <w:tcMar>
                    <w:top w:type="dxa" w:w="80"/>
                    <w:left w:type="dxa" w:w="80"/>
                    <w:bottom w:type="dxa" w:w="80"/>
                    <w:right w:type="dxa" w:w="80"/>
                  </w:tcMar>
                </w:tcPr>
                <w:p>
                  <w:pPr>
                    <w:jc w:val="center"/>
                  </w:pPr>
                  <w:r>
                    <w:rPr>
                      <w:rFonts w:ascii="Arial" w:cs="Arial" w:eastAsia="Arial" w:hAnsi="Arial"/>
                      <w:sz w:val="19"/>
                      <w:szCs w:val="19"/>
                    </w:rPr>
                    <w:t xml:space="preserve"/>
                  </w:r>
                </w:p>
              </w:tc>
            </w:tr>
            <w:tr>
              <w:tc>
                <w:tcPr>
                  <w:tcW w:type="dxa" w:w="1800"/>
                  <w:tcBorders>
                    <w:top w:val="single" w:color="CCCCCC" w:sz="1"/>
                    <w:left w:val="single" w:color="CCCCCC" w:sz="1"/>
                    <w:bottom w:val="single" w:color="CCCCCC" w:sz="1"/>
                    <w:right w:val="single" w:color="CCCCCC" w:sz="1"/>
                  </w:tcBorders>
                  <w:shd w:fill="FFFFFF" w:val="clear"/>
                  <w:tcMar>
                    <w:top w:type="dxa" w:w="80"/>
                    <w:left w:type="dxa" w:w="80"/>
                    <w:bottom w:type="dxa" w:w="80"/>
                    <w:right w:type="dxa" w:w="80"/>
                  </w:tcMar>
                </w:tcPr>
                <w:p>
                  <w:pPr>
                    <w:jc w:val="center"/>
                  </w:pPr>
                  <w:r>
                    <w:rPr>
                      <w:rFonts w:ascii="Arial" w:cs="Arial" w:eastAsia="Arial" w:hAnsi="Arial"/>
                      <w:sz w:val="19"/>
                      <w:szCs w:val="19"/>
                    </w:rPr>
                    <w:t xml:space="preserve">Upper Arm</w:t>
                  </w:r>
                </w:p>
              </w:tc>
              <w:tc>
                <w:tcPr>
                  <w:tcW w:type="dxa" w:w="1140"/>
                  <w:tcBorders>
                    <w:top w:val="single" w:color="CCCCCC" w:sz="1"/>
                    <w:left w:val="single" w:color="CCCCCC" w:sz="1"/>
                    <w:bottom w:val="single" w:color="CCCCCC" w:sz="1"/>
                    <w:right w:val="single" w:color="CCCCCC" w:sz="1"/>
                  </w:tcBorders>
                  <w:shd w:fill="FFFFFF" w:val="clear"/>
                  <w:tcMar>
                    <w:top w:type="dxa" w:w="80"/>
                    <w:left w:type="dxa" w:w="80"/>
                    <w:bottom w:type="dxa" w:w="80"/>
                    <w:right w:type="dxa" w:w="80"/>
                  </w:tcMar>
                </w:tcPr>
                <w:p>
                  <w:pPr>
                    <w:jc w:val="center"/>
                  </w:pPr>
                  <w:r>
                    <w:rPr>
                      <w:rFonts w:ascii="Arial" w:cs="Arial" w:eastAsia="Arial" w:hAnsi="Arial"/>
                      <w:sz w:val="19"/>
                      <w:szCs w:val="19"/>
                    </w:rPr>
                    <w:t xml:space="preserve"/>
                  </w:r>
                </w:p>
              </w:tc>
              <w:tc>
                <w:tcPr>
                  <w:tcW w:type="dxa" w:w="1140"/>
                  <w:tcBorders>
                    <w:top w:val="single" w:color="CCCCCC" w:sz="1"/>
                    <w:left w:val="single" w:color="CCCCCC" w:sz="1"/>
                    <w:bottom w:val="single" w:color="CCCCCC" w:sz="1"/>
                    <w:right w:val="single" w:color="CCCCCC" w:sz="1"/>
                  </w:tcBorders>
                  <w:shd w:fill="FFFFFF" w:val="clear"/>
                  <w:tcMar>
                    <w:top w:type="dxa" w:w="80"/>
                    <w:left w:type="dxa" w:w="80"/>
                    <w:bottom w:type="dxa" w:w="80"/>
                    <w:right w:type="dxa" w:w="80"/>
                  </w:tcMar>
                </w:tcPr>
                <w:p>
                  <w:pPr>
                    <w:jc w:val="center"/>
                  </w:pPr>
                  <w:r>
                    <w:rPr>
                      <w:rFonts w:ascii="Arial" w:cs="Arial" w:eastAsia="Arial" w:hAnsi="Arial"/>
                      <w:sz w:val="19"/>
                      <w:szCs w:val="19"/>
                    </w:rPr>
                    <w:t xml:space="preserve"/>
                  </w:r>
                </w:p>
              </w:tc>
              <w:tc>
                <w:tcPr>
                  <w:tcW w:type="dxa" w:w="1140"/>
                  <w:tcBorders>
                    <w:top w:val="single" w:color="CCCCCC" w:sz="1"/>
                    <w:left w:val="single" w:color="CCCCCC" w:sz="1"/>
                    <w:bottom w:val="single" w:color="CCCCCC" w:sz="1"/>
                    <w:right w:val="single" w:color="CCCCCC" w:sz="1"/>
                  </w:tcBorders>
                  <w:shd w:fill="FFFFFF" w:val="clear"/>
                  <w:tcMar>
                    <w:top w:type="dxa" w:w="80"/>
                    <w:left w:type="dxa" w:w="80"/>
                    <w:bottom w:type="dxa" w:w="80"/>
                    <w:right w:type="dxa" w:w="80"/>
                  </w:tcMar>
                </w:tcPr>
                <w:p>
                  <w:pPr>
                    <w:jc w:val="center"/>
                  </w:pPr>
                  <w:r>
                    <w:rPr>
                      <w:rFonts w:ascii="Arial" w:cs="Arial" w:eastAsia="Arial" w:hAnsi="Arial"/>
                      <w:sz w:val="19"/>
                      <w:szCs w:val="19"/>
                    </w:rPr>
                    <w:t xml:space="preserve"/>
                  </w:r>
                </w:p>
              </w:tc>
              <w:tc>
                <w:tcPr>
                  <w:tcW w:type="dxa" w:w="1140"/>
                  <w:tcBorders>
                    <w:top w:val="single" w:color="CCCCCC" w:sz="1"/>
                    <w:left w:val="single" w:color="CCCCCC" w:sz="1"/>
                    <w:bottom w:val="single" w:color="CCCCCC" w:sz="1"/>
                    <w:right w:val="single" w:color="CCCCCC" w:sz="1"/>
                  </w:tcBorders>
                  <w:shd w:fill="FFFFFF" w:val="clear"/>
                  <w:tcMar>
                    <w:top w:type="dxa" w:w="80"/>
                    <w:left w:type="dxa" w:w="80"/>
                    <w:bottom w:type="dxa" w:w="80"/>
                    <w:right w:type="dxa" w:w="80"/>
                  </w:tcMar>
                </w:tcPr>
                <w:p>
                  <w:pPr>
                    <w:jc w:val="center"/>
                  </w:pPr>
                  <w:r>
                    <w:rPr>
                      <w:rFonts w:ascii="Arial" w:cs="Arial" w:eastAsia="Arial" w:hAnsi="Arial"/>
                      <w:sz w:val="19"/>
                      <w:szCs w:val="19"/>
                    </w:rPr>
                    <w:t xml:space="preserve"/>
                  </w:r>
                </w:p>
              </w:tc>
              <w:tc>
                <w:tcPr>
                  <w:tcW w:type="dxa" w:w="1140"/>
                  <w:tcBorders>
                    <w:top w:val="single" w:color="CCCCCC" w:sz="1"/>
                    <w:left w:val="single" w:color="CCCCCC" w:sz="1"/>
                    <w:bottom w:val="single" w:color="CCCCCC" w:sz="1"/>
                    <w:right w:val="single" w:color="CCCCCC" w:sz="1"/>
                  </w:tcBorders>
                  <w:shd w:fill="FFFFFF" w:val="clear"/>
                  <w:tcMar>
                    <w:top w:type="dxa" w:w="80"/>
                    <w:left w:type="dxa" w:w="80"/>
                    <w:bottom w:type="dxa" w:w="80"/>
                    <w:right w:type="dxa" w:w="80"/>
                  </w:tcMar>
                </w:tcPr>
                <w:p>
                  <w:pPr>
                    <w:jc w:val="center"/>
                  </w:pPr>
                  <w:r>
                    <w:rPr>
                      <w:rFonts w:ascii="Arial" w:cs="Arial" w:eastAsia="Arial" w:hAnsi="Arial"/>
                      <w:sz w:val="19"/>
                      <w:szCs w:val="19"/>
                    </w:rPr>
                    <w:t xml:space="preserve"/>
                  </w:r>
                </w:p>
              </w:tc>
              <w:tc>
                <w:tcPr>
                  <w:tcW w:type="dxa" w:w="860"/>
                  <w:tcBorders>
                    <w:top w:val="single" w:color="CCCCCC" w:sz="1"/>
                    <w:left w:val="single" w:color="CCCCCC" w:sz="1"/>
                    <w:bottom w:val="single" w:color="CCCCCC" w:sz="1"/>
                    <w:right w:val="single" w:color="CCCCCC" w:sz="1"/>
                  </w:tcBorders>
                  <w:shd w:fill="FFFFFF" w:val="clear"/>
                  <w:tcMar>
                    <w:top w:type="dxa" w:w="80"/>
                    <w:left w:type="dxa" w:w="80"/>
                    <w:bottom w:type="dxa" w:w="80"/>
                    <w:right w:type="dxa" w:w="80"/>
                  </w:tcMar>
                </w:tcPr>
                <w:p>
                  <w:pPr>
                    <w:jc w:val="center"/>
                  </w:pPr>
                  <w:r>
                    <w:rPr>
                      <w:rFonts w:ascii="Arial" w:cs="Arial" w:eastAsia="Arial" w:hAnsi="Arial"/>
                      <w:sz w:val="19"/>
                      <w:szCs w:val="19"/>
                    </w:rPr>
                    <w:t xml:space="preserve"/>
                  </w:r>
                </w:p>
              </w:tc>
            </w:tr>
            <w:tr>
              <w:tc>
                <w:tcPr>
                  <w:tcW w:type="dxa" w:w="1800"/>
                  <w:tcBorders>
                    <w:top w:val="single" w:color="CCCCCC" w:sz="1"/>
                    <w:left w:val="single" w:color="CCCCCC" w:sz="1"/>
                    <w:bottom w:val="single" w:color="CCCCCC" w:sz="1"/>
                    <w:right w:val="single" w:color="CCCCCC" w:sz="1"/>
                  </w:tcBorders>
                  <w:shd w:fill="D6EAF8" w:val="clear"/>
                  <w:tcMar>
                    <w:top w:type="dxa" w:w="80"/>
                    <w:left w:type="dxa" w:w="80"/>
                    <w:bottom w:type="dxa" w:w="80"/>
                    <w:right w:type="dxa" w:w="80"/>
                  </w:tcMar>
                </w:tcPr>
                <w:p>
                  <w:pPr>
                    <w:jc w:val="center"/>
                  </w:pPr>
                  <w:r>
                    <w:rPr>
                      <w:rFonts w:ascii="Arial" w:cs="Arial" w:eastAsia="Arial" w:hAnsi="Arial"/>
                      <w:sz w:val="19"/>
                      <w:szCs w:val="19"/>
                    </w:rPr>
                    <w:t xml:space="preserve">Palm of Hand</w:t>
                  </w:r>
                </w:p>
              </w:tc>
              <w:tc>
                <w:tcPr>
                  <w:tcW w:type="dxa" w:w="1140"/>
                  <w:tcBorders>
                    <w:top w:val="single" w:color="CCCCCC" w:sz="1"/>
                    <w:left w:val="single" w:color="CCCCCC" w:sz="1"/>
                    <w:bottom w:val="single" w:color="CCCCCC" w:sz="1"/>
                    <w:right w:val="single" w:color="CCCCCC" w:sz="1"/>
                  </w:tcBorders>
                  <w:shd w:fill="D6EAF8" w:val="clear"/>
                  <w:tcMar>
                    <w:top w:type="dxa" w:w="80"/>
                    <w:left w:type="dxa" w:w="80"/>
                    <w:bottom w:type="dxa" w:w="80"/>
                    <w:right w:type="dxa" w:w="80"/>
                  </w:tcMar>
                </w:tcPr>
                <w:p>
                  <w:pPr>
                    <w:jc w:val="center"/>
                  </w:pPr>
                  <w:r>
                    <w:rPr>
                      <w:rFonts w:ascii="Arial" w:cs="Arial" w:eastAsia="Arial" w:hAnsi="Arial"/>
                      <w:sz w:val="19"/>
                      <w:szCs w:val="19"/>
                    </w:rPr>
                    <w:t xml:space="preserve"/>
                  </w:r>
                </w:p>
              </w:tc>
              <w:tc>
                <w:tcPr>
                  <w:tcW w:type="dxa" w:w="1140"/>
                  <w:tcBorders>
                    <w:top w:val="single" w:color="CCCCCC" w:sz="1"/>
                    <w:left w:val="single" w:color="CCCCCC" w:sz="1"/>
                    <w:bottom w:val="single" w:color="CCCCCC" w:sz="1"/>
                    <w:right w:val="single" w:color="CCCCCC" w:sz="1"/>
                  </w:tcBorders>
                  <w:shd w:fill="D6EAF8" w:val="clear"/>
                  <w:tcMar>
                    <w:top w:type="dxa" w:w="80"/>
                    <w:left w:type="dxa" w:w="80"/>
                    <w:bottom w:type="dxa" w:w="80"/>
                    <w:right w:type="dxa" w:w="80"/>
                  </w:tcMar>
                </w:tcPr>
                <w:p>
                  <w:pPr>
                    <w:jc w:val="center"/>
                  </w:pPr>
                  <w:r>
                    <w:rPr>
                      <w:rFonts w:ascii="Arial" w:cs="Arial" w:eastAsia="Arial" w:hAnsi="Arial"/>
                      <w:sz w:val="19"/>
                      <w:szCs w:val="19"/>
                    </w:rPr>
                    <w:t xml:space="preserve"/>
                  </w:r>
                </w:p>
              </w:tc>
              <w:tc>
                <w:tcPr>
                  <w:tcW w:type="dxa" w:w="1140"/>
                  <w:tcBorders>
                    <w:top w:val="single" w:color="CCCCCC" w:sz="1"/>
                    <w:left w:val="single" w:color="CCCCCC" w:sz="1"/>
                    <w:bottom w:val="single" w:color="CCCCCC" w:sz="1"/>
                    <w:right w:val="single" w:color="CCCCCC" w:sz="1"/>
                  </w:tcBorders>
                  <w:shd w:fill="D6EAF8" w:val="clear"/>
                  <w:tcMar>
                    <w:top w:type="dxa" w:w="80"/>
                    <w:left w:type="dxa" w:w="80"/>
                    <w:bottom w:type="dxa" w:w="80"/>
                    <w:right w:type="dxa" w:w="80"/>
                  </w:tcMar>
                </w:tcPr>
                <w:p>
                  <w:pPr>
                    <w:jc w:val="center"/>
                  </w:pPr>
                  <w:r>
                    <w:rPr>
                      <w:rFonts w:ascii="Arial" w:cs="Arial" w:eastAsia="Arial" w:hAnsi="Arial"/>
                      <w:sz w:val="19"/>
                      <w:szCs w:val="19"/>
                    </w:rPr>
                    <w:t xml:space="preserve"/>
                  </w:r>
                </w:p>
              </w:tc>
              <w:tc>
                <w:tcPr>
                  <w:tcW w:type="dxa" w:w="1140"/>
                  <w:tcBorders>
                    <w:top w:val="single" w:color="CCCCCC" w:sz="1"/>
                    <w:left w:val="single" w:color="CCCCCC" w:sz="1"/>
                    <w:bottom w:val="single" w:color="CCCCCC" w:sz="1"/>
                    <w:right w:val="single" w:color="CCCCCC" w:sz="1"/>
                  </w:tcBorders>
                  <w:shd w:fill="D6EAF8" w:val="clear"/>
                  <w:tcMar>
                    <w:top w:type="dxa" w:w="80"/>
                    <w:left w:type="dxa" w:w="80"/>
                    <w:bottom w:type="dxa" w:w="80"/>
                    <w:right w:type="dxa" w:w="80"/>
                  </w:tcMar>
                </w:tcPr>
                <w:p>
                  <w:pPr>
                    <w:jc w:val="center"/>
                  </w:pPr>
                  <w:r>
                    <w:rPr>
                      <w:rFonts w:ascii="Arial" w:cs="Arial" w:eastAsia="Arial" w:hAnsi="Arial"/>
                      <w:sz w:val="19"/>
                      <w:szCs w:val="19"/>
                    </w:rPr>
                    <w:t xml:space="preserve"/>
                  </w:r>
                </w:p>
              </w:tc>
              <w:tc>
                <w:tcPr>
                  <w:tcW w:type="dxa" w:w="1140"/>
                  <w:tcBorders>
                    <w:top w:val="single" w:color="CCCCCC" w:sz="1"/>
                    <w:left w:val="single" w:color="CCCCCC" w:sz="1"/>
                    <w:bottom w:val="single" w:color="CCCCCC" w:sz="1"/>
                    <w:right w:val="single" w:color="CCCCCC" w:sz="1"/>
                  </w:tcBorders>
                  <w:shd w:fill="D6EAF8" w:val="clear"/>
                  <w:tcMar>
                    <w:top w:type="dxa" w:w="80"/>
                    <w:left w:type="dxa" w:w="80"/>
                    <w:bottom w:type="dxa" w:w="80"/>
                    <w:right w:type="dxa" w:w="80"/>
                  </w:tcMar>
                </w:tcPr>
                <w:p>
                  <w:pPr>
                    <w:jc w:val="center"/>
                  </w:pPr>
                  <w:r>
                    <w:rPr>
                      <w:rFonts w:ascii="Arial" w:cs="Arial" w:eastAsia="Arial" w:hAnsi="Arial"/>
                      <w:sz w:val="19"/>
                      <w:szCs w:val="19"/>
                    </w:rPr>
                    <w:t xml:space="preserve"/>
                  </w:r>
                </w:p>
              </w:tc>
              <w:tc>
                <w:tcPr>
                  <w:tcW w:type="dxa" w:w="860"/>
                  <w:tcBorders>
                    <w:top w:val="single" w:color="CCCCCC" w:sz="1"/>
                    <w:left w:val="single" w:color="CCCCCC" w:sz="1"/>
                    <w:bottom w:val="single" w:color="CCCCCC" w:sz="1"/>
                    <w:right w:val="single" w:color="CCCCCC" w:sz="1"/>
                  </w:tcBorders>
                  <w:shd w:fill="D6EAF8" w:val="clear"/>
                  <w:tcMar>
                    <w:top w:type="dxa" w:w="80"/>
                    <w:left w:type="dxa" w:w="80"/>
                    <w:bottom w:type="dxa" w:w="80"/>
                    <w:right w:type="dxa" w:w="80"/>
                  </w:tcMar>
                </w:tcPr>
                <w:p>
                  <w:pPr>
                    <w:jc w:val="center"/>
                  </w:pPr>
                  <w:r>
                    <w:rPr>
                      <w:rFonts w:ascii="Arial" w:cs="Arial" w:eastAsia="Arial" w:hAnsi="Arial"/>
                      <w:sz w:val="19"/>
                      <w:szCs w:val="19"/>
                    </w:rPr>
                    <w:t xml:space="preserve"/>
                  </w:r>
                </w:p>
              </w:tc>
            </w:tr>
            <w:tr>
              <w:tc>
                <w:tcPr>
                  <w:tcW w:type="dxa" w:w="1800"/>
                  <w:tcBorders>
                    <w:top w:val="single" w:color="CCCCCC" w:sz="1"/>
                    <w:left w:val="single" w:color="CCCCCC" w:sz="1"/>
                    <w:bottom w:val="single" w:color="CCCCCC" w:sz="1"/>
                    <w:right w:val="single" w:color="CCCCCC" w:sz="1"/>
                  </w:tcBorders>
                  <w:shd w:fill="FFFFFF" w:val="clear"/>
                  <w:tcMar>
                    <w:top w:type="dxa" w:w="80"/>
                    <w:left w:type="dxa" w:w="80"/>
                    <w:bottom w:type="dxa" w:w="80"/>
                    <w:right w:type="dxa" w:w="80"/>
                  </w:tcMar>
                </w:tcPr>
                <w:p>
                  <w:pPr>
                    <w:jc w:val="center"/>
                  </w:pPr>
                  <w:r>
                    <w:rPr>
                      <w:rFonts w:ascii="Arial" w:cs="Arial" w:eastAsia="Arial" w:hAnsi="Arial"/>
                      <w:sz w:val="19"/>
                      <w:szCs w:val="19"/>
                    </w:rPr>
                    <w:t xml:space="preserve">Leg (Calf)</w:t>
                  </w:r>
                </w:p>
              </w:tc>
              <w:tc>
                <w:tcPr>
                  <w:tcW w:type="dxa" w:w="1140"/>
                  <w:tcBorders>
                    <w:top w:val="single" w:color="CCCCCC" w:sz="1"/>
                    <w:left w:val="single" w:color="CCCCCC" w:sz="1"/>
                    <w:bottom w:val="single" w:color="CCCCCC" w:sz="1"/>
                    <w:right w:val="single" w:color="CCCCCC" w:sz="1"/>
                  </w:tcBorders>
                  <w:shd w:fill="FFFFFF" w:val="clear"/>
                  <w:tcMar>
                    <w:top w:type="dxa" w:w="80"/>
                    <w:left w:type="dxa" w:w="80"/>
                    <w:bottom w:type="dxa" w:w="80"/>
                    <w:right w:type="dxa" w:w="80"/>
                  </w:tcMar>
                </w:tcPr>
                <w:p>
                  <w:pPr>
                    <w:jc w:val="center"/>
                  </w:pPr>
                  <w:r>
                    <w:rPr>
                      <w:rFonts w:ascii="Arial" w:cs="Arial" w:eastAsia="Arial" w:hAnsi="Arial"/>
                      <w:sz w:val="19"/>
                      <w:szCs w:val="19"/>
                    </w:rPr>
                    <w:t xml:space="preserve"/>
                  </w:r>
                </w:p>
              </w:tc>
              <w:tc>
                <w:tcPr>
                  <w:tcW w:type="dxa" w:w="1140"/>
                  <w:tcBorders>
                    <w:top w:val="single" w:color="CCCCCC" w:sz="1"/>
                    <w:left w:val="single" w:color="CCCCCC" w:sz="1"/>
                    <w:bottom w:val="single" w:color="CCCCCC" w:sz="1"/>
                    <w:right w:val="single" w:color="CCCCCC" w:sz="1"/>
                  </w:tcBorders>
                  <w:shd w:fill="FFFFFF" w:val="clear"/>
                  <w:tcMar>
                    <w:top w:type="dxa" w:w="80"/>
                    <w:left w:type="dxa" w:w="80"/>
                    <w:bottom w:type="dxa" w:w="80"/>
                    <w:right w:type="dxa" w:w="80"/>
                  </w:tcMar>
                </w:tcPr>
                <w:p>
                  <w:pPr>
                    <w:jc w:val="center"/>
                  </w:pPr>
                  <w:r>
                    <w:rPr>
                      <w:rFonts w:ascii="Arial" w:cs="Arial" w:eastAsia="Arial" w:hAnsi="Arial"/>
                      <w:sz w:val="19"/>
                      <w:szCs w:val="19"/>
                    </w:rPr>
                    <w:t xml:space="preserve"/>
                  </w:r>
                </w:p>
              </w:tc>
              <w:tc>
                <w:tcPr>
                  <w:tcW w:type="dxa" w:w="1140"/>
                  <w:tcBorders>
                    <w:top w:val="single" w:color="CCCCCC" w:sz="1"/>
                    <w:left w:val="single" w:color="CCCCCC" w:sz="1"/>
                    <w:bottom w:val="single" w:color="CCCCCC" w:sz="1"/>
                    <w:right w:val="single" w:color="CCCCCC" w:sz="1"/>
                  </w:tcBorders>
                  <w:shd w:fill="FFFFFF" w:val="clear"/>
                  <w:tcMar>
                    <w:top w:type="dxa" w:w="80"/>
                    <w:left w:type="dxa" w:w="80"/>
                    <w:bottom w:type="dxa" w:w="80"/>
                    <w:right w:type="dxa" w:w="80"/>
                  </w:tcMar>
                </w:tcPr>
                <w:p>
                  <w:pPr>
                    <w:jc w:val="center"/>
                  </w:pPr>
                  <w:r>
                    <w:rPr>
                      <w:rFonts w:ascii="Arial" w:cs="Arial" w:eastAsia="Arial" w:hAnsi="Arial"/>
                      <w:sz w:val="19"/>
                      <w:szCs w:val="19"/>
                    </w:rPr>
                    <w:t xml:space="preserve"/>
                  </w:r>
                </w:p>
              </w:tc>
              <w:tc>
                <w:tcPr>
                  <w:tcW w:type="dxa" w:w="1140"/>
                  <w:tcBorders>
                    <w:top w:val="single" w:color="CCCCCC" w:sz="1"/>
                    <w:left w:val="single" w:color="CCCCCC" w:sz="1"/>
                    <w:bottom w:val="single" w:color="CCCCCC" w:sz="1"/>
                    <w:right w:val="single" w:color="CCCCCC" w:sz="1"/>
                  </w:tcBorders>
                  <w:shd w:fill="FFFFFF" w:val="clear"/>
                  <w:tcMar>
                    <w:top w:type="dxa" w:w="80"/>
                    <w:left w:type="dxa" w:w="80"/>
                    <w:bottom w:type="dxa" w:w="80"/>
                    <w:right w:type="dxa" w:w="80"/>
                  </w:tcMar>
                </w:tcPr>
                <w:p>
                  <w:pPr>
                    <w:jc w:val="center"/>
                  </w:pPr>
                  <w:r>
                    <w:rPr>
                      <w:rFonts w:ascii="Arial" w:cs="Arial" w:eastAsia="Arial" w:hAnsi="Arial"/>
                      <w:sz w:val="19"/>
                      <w:szCs w:val="19"/>
                    </w:rPr>
                    <w:t xml:space="preserve"/>
                  </w:r>
                </w:p>
              </w:tc>
              <w:tc>
                <w:tcPr>
                  <w:tcW w:type="dxa" w:w="1140"/>
                  <w:tcBorders>
                    <w:top w:val="single" w:color="CCCCCC" w:sz="1"/>
                    <w:left w:val="single" w:color="CCCCCC" w:sz="1"/>
                    <w:bottom w:val="single" w:color="CCCCCC" w:sz="1"/>
                    <w:right w:val="single" w:color="CCCCCC" w:sz="1"/>
                  </w:tcBorders>
                  <w:shd w:fill="FFFFFF" w:val="clear"/>
                  <w:tcMar>
                    <w:top w:type="dxa" w:w="80"/>
                    <w:left w:type="dxa" w:w="80"/>
                    <w:bottom w:type="dxa" w:w="80"/>
                    <w:right w:type="dxa" w:w="80"/>
                  </w:tcMar>
                </w:tcPr>
                <w:p>
                  <w:pPr>
                    <w:jc w:val="center"/>
                  </w:pPr>
                  <w:r>
                    <w:rPr>
                      <w:rFonts w:ascii="Arial" w:cs="Arial" w:eastAsia="Arial" w:hAnsi="Arial"/>
                      <w:sz w:val="19"/>
                      <w:szCs w:val="19"/>
                    </w:rPr>
                    <w:t xml:space="preserve"/>
                  </w:r>
                </w:p>
              </w:tc>
              <w:tc>
                <w:tcPr>
                  <w:tcW w:type="dxa" w:w="860"/>
                  <w:tcBorders>
                    <w:top w:val="single" w:color="CCCCCC" w:sz="1"/>
                    <w:left w:val="single" w:color="CCCCCC" w:sz="1"/>
                    <w:bottom w:val="single" w:color="CCCCCC" w:sz="1"/>
                    <w:right w:val="single" w:color="CCCCCC" w:sz="1"/>
                  </w:tcBorders>
                  <w:shd w:fill="FFFFFF" w:val="clear"/>
                  <w:tcMar>
                    <w:top w:type="dxa" w:w="80"/>
                    <w:left w:type="dxa" w:w="80"/>
                    <w:bottom w:type="dxa" w:w="80"/>
                    <w:right w:type="dxa" w:w="80"/>
                  </w:tcMar>
                </w:tcPr>
                <w:p>
                  <w:pPr>
                    <w:jc w:val="center"/>
                  </w:pPr>
                  <w:r>
                    <w:rPr>
                      <w:rFonts w:ascii="Arial" w:cs="Arial" w:eastAsia="Arial" w:hAnsi="Arial"/>
                      <w:sz w:val="19"/>
                      <w:szCs w:val="19"/>
                    </w:rPr>
                    <w:t xml:space="preserve"/>
                  </w:r>
                </w:p>
              </w:tc>
            </w:tr>
            <w:tr>
              <w:tc>
                <w:tcPr>
                  <w:tcW w:type="dxa" w:w="1800"/>
                  <w:tcBorders>
                    <w:top w:val="single" w:color="CCCCCC" w:sz="1"/>
                    <w:left w:val="single" w:color="CCCCCC" w:sz="1"/>
                    <w:bottom w:val="single" w:color="CCCCCC" w:sz="1"/>
                    <w:right w:val="single" w:color="CCCCCC" w:sz="1"/>
                  </w:tcBorders>
                  <w:shd w:fill="D6EAF8" w:val="clear"/>
                  <w:tcMar>
                    <w:top w:type="dxa" w:w="80"/>
                    <w:left w:type="dxa" w:w="80"/>
                    <w:bottom w:type="dxa" w:w="80"/>
                    <w:right w:type="dxa" w:w="80"/>
                  </w:tcMar>
                </w:tcPr>
                <w:p>
                  <w:pPr>
                    <w:jc w:val="center"/>
                  </w:pPr>
                  <w:r>
                    <w:rPr>
                      <w:rFonts w:ascii="Arial" w:cs="Arial" w:eastAsia="Arial" w:hAnsi="Arial"/>
                      <w:sz w:val="19"/>
                      <w:szCs w:val="19"/>
                    </w:rPr>
                    <w:t xml:space="preserve">Top of Foot</w:t>
                  </w:r>
                </w:p>
              </w:tc>
              <w:tc>
                <w:tcPr>
                  <w:tcW w:type="dxa" w:w="1140"/>
                  <w:tcBorders>
                    <w:top w:val="single" w:color="CCCCCC" w:sz="1"/>
                    <w:left w:val="single" w:color="CCCCCC" w:sz="1"/>
                    <w:bottom w:val="single" w:color="CCCCCC" w:sz="1"/>
                    <w:right w:val="single" w:color="CCCCCC" w:sz="1"/>
                  </w:tcBorders>
                  <w:shd w:fill="D6EAF8" w:val="clear"/>
                  <w:tcMar>
                    <w:top w:type="dxa" w:w="80"/>
                    <w:left w:type="dxa" w:w="80"/>
                    <w:bottom w:type="dxa" w:w="80"/>
                    <w:right w:type="dxa" w:w="80"/>
                  </w:tcMar>
                </w:tcPr>
                <w:p>
                  <w:pPr>
                    <w:jc w:val="center"/>
                  </w:pPr>
                  <w:r>
                    <w:rPr>
                      <w:rFonts w:ascii="Arial" w:cs="Arial" w:eastAsia="Arial" w:hAnsi="Arial"/>
                      <w:sz w:val="19"/>
                      <w:szCs w:val="19"/>
                    </w:rPr>
                    <w:t xml:space="preserve"/>
                  </w:r>
                </w:p>
              </w:tc>
              <w:tc>
                <w:tcPr>
                  <w:tcW w:type="dxa" w:w="1140"/>
                  <w:tcBorders>
                    <w:top w:val="single" w:color="CCCCCC" w:sz="1"/>
                    <w:left w:val="single" w:color="CCCCCC" w:sz="1"/>
                    <w:bottom w:val="single" w:color="CCCCCC" w:sz="1"/>
                    <w:right w:val="single" w:color="CCCCCC" w:sz="1"/>
                  </w:tcBorders>
                  <w:shd w:fill="D6EAF8" w:val="clear"/>
                  <w:tcMar>
                    <w:top w:type="dxa" w:w="80"/>
                    <w:left w:type="dxa" w:w="80"/>
                    <w:bottom w:type="dxa" w:w="80"/>
                    <w:right w:type="dxa" w:w="80"/>
                  </w:tcMar>
                </w:tcPr>
                <w:p>
                  <w:pPr>
                    <w:jc w:val="center"/>
                  </w:pPr>
                  <w:r>
                    <w:rPr>
                      <w:rFonts w:ascii="Arial" w:cs="Arial" w:eastAsia="Arial" w:hAnsi="Arial"/>
                      <w:sz w:val="19"/>
                      <w:szCs w:val="19"/>
                    </w:rPr>
                    <w:t xml:space="preserve"/>
                  </w:r>
                </w:p>
              </w:tc>
              <w:tc>
                <w:tcPr>
                  <w:tcW w:type="dxa" w:w="1140"/>
                  <w:tcBorders>
                    <w:top w:val="single" w:color="CCCCCC" w:sz="1"/>
                    <w:left w:val="single" w:color="CCCCCC" w:sz="1"/>
                    <w:bottom w:val="single" w:color="CCCCCC" w:sz="1"/>
                    <w:right w:val="single" w:color="CCCCCC" w:sz="1"/>
                  </w:tcBorders>
                  <w:shd w:fill="D6EAF8" w:val="clear"/>
                  <w:tcMar>
                    <w:top w:type="dxa" w:w="80"/>
                    <w:left w:type="dxa" w:w="80"/>
                    <w:bottom w:type="dxa" w:w="80"/>
                    <w:right w:type="dxa" w:w="80"/>
                  </w:tcMar>
                </w:tcPr>
                <w:p>
                  <w:pPr>
                    <w:jc w:val="center"/>
                  </w:pPr>
                  <w:r>
                    <w:rPr>
                      <w:rFonts w:ascii="Arial" w:cs="Arial" w:eastAsia="Arial" w:hAnsi="Arial"/>
                      <w:sz w:val="19"/>
                      <w:szCs w:val="19"/>
                    </w:rPr>
                    <w:t xml:space="preserve"/>
                  </w:r>
                </w:p>
              </w:tc>
              <w:tc>
                <w:tcPr>
                  <w:tcW w:type="dxa" w:w="1140"/>
                  <w:tcBorders>
                    <w:top w:val="single" w:color="CCCCCC" w:sz="1"/>
                    <w:left w:val="single" w:color="CCCCCC" w:sz="1"/>
                    <w:bottom w:val="single" w:color="CCCCCC" w:sz="1"/>
                    <w:right w:val="single" w:color="CCCCCC" w:sz="1"/>
                  </w:tcBorders>
                  <w:shd w:fill="D6EAF8" w:val="clear"/>
                  <w:tcMar>
                    <w:top w:type="dxa" w:w="80"/>
                    <w:left w:type="dxa" w:w="80"/>
                    <w:bottom w:type="dxa" w:w="80"/>
                    <w:right w:type="dxa" w:w="80"/>
                  </w:tcMar>
                </w:tcPr>
                <w:p>
                  <w:pPr>
                    <w:jc w:val="center"/>
                  </w:pPr>
                  <w:r>
                    <w:rPr>
                      <w:rFonts w:ascii="Arial" w:cs="Arial" w:eastAsia="Arial" w:hAnsi="Arial"/>
                      <w:sz w:val="19"/>
                      <w:szCs w:val="19"/>
                    </w:rPr>
                    <w:t xml:space="preserve"/>
                  </w:r>
                </w:p>
              </w:tc>
              <w:tc>
                <w:tcPr>
                  <w:tcW w:type="dxa" w:w="1140"/>
                  <w:tcBorders>
                    <w:top w:val="single" w:color="CCCCCC" w:sz="1"/>
                    <w:left w:val="single" w:color="CCCCCC" w:sz="1"/>
                    <w:bottom w:val="single" w:color="CCCCCC" w:sz="1"/>
                    <w:right w:val="single" w:color="CCCCCC" w:sz="1"/>
                  </w:tcBorders>
                  <w:shd w:fill="D6EAF8" w:val="clear"/>
                  <w:tcMar>
                    <w:top w:type="dxa" w:w="80"/>
                    <w:left w:type="dxa" w:w="80"/>
                    <w:bottom w:type="dxa" w:w="80"/>
                    <w:right w:type="dxa" w:w="80"/>
                  </w:tcMar>
                </w:tcPr>
                <w:p>
                  <w:pPr>
                    <w:jc w:val="center"/>
                  </w:pPr>
                  <w:r>
                    <w:rPr>
                      <w:rFonts w:ascii="Arial" w:cs="Arial" w:eastAsia="Arial" w:hAnsi="Arial"/>
                      <w:sz w:val="19"/>
                      <w:szCs w:val="19"/>
                    </w:rPr>
                    <w:t xml:space="preserve"/>
                  </w:r>
                </w:p>
              </w:tc>
              <w:tc>
                <w:tcPr>
                  <w:tcW w:type="dxa" w:w="860"/>
                  <w:tcBorders>
                    <w:top w:val="single" w:color="CCCCCC" w:sz="1"/>
                    <w:left w:val="single" w:color="CCCCCC" w:sz="1"/>
                    <w:bottom w:val="single" w:color="CCCCCC" w:sz="1"/>
                    <w:right w:val="single" w:color="CCCCCC" w:sz="1"/>
                  </w:tcBorders>
                  <w:shd w:fill="D6EAF8" w:val="clear"/>
                  <w:tcMar>
                    <w:top w:type="dxa" w:w="80"/>
                    <w:left w:type="dxa" w:w="80"/>
                    <w:bottom w:type="dxa" w:w="80"/>
                    <w:right w:type="dxa" w:w="80"/>
                  </w:tcMar>
                </w:tcPr>
                <w:p>
                  <w:pPr>
                    <w:jc w:val="center"/>
                  </w:pPr>
                  <w:r>
                    <w:rPr>
                      <w:rFonts w:ascii="Arial" w:cs="Arial" w:eastAsia="Arial" w:hAnsi="Arial"/>
                      <w:sz w:val="19"/>
                      <w:szCs w:val="19"/>
                    </w:rPr>
                    <w:t xml:space="preserve"/>
                  </w:r>
                </w:p>
              </w:tc>
            </w:tr>
          </w:tbl>
          <w:p>
            <w:pPr>
              <w:spacing w:after="160"/>
            </w:pPr>
          </w:p>
          <w:p>
            <w:pPr>
              <w:spacing w:after="120"/>
            </w:pPr>
            <w:r>
              <w:rPr>
                <w:rFonts w:ascii="Arial" w:cs="Arial" w:eastAsia="Arial" w:hAnsi="Arial"/>
                <w:b w:val="false"/>
                <w:bCs w:val="false"/>
                <w:i/>
                <w:iCs/>
                <w:color w:val="1C1C1C"/>
                <w:sz w:val="22"/>
                <w:szCs w:val="22"/>
              </w:rPr>
              <w:t xml:space="preserve">Note: For Subjects 2 and 3, record the average (mm) across 3 trials directly in the 'Avg' column.</w:t>
            </w:r>
          </w:p>
        </w:tc>
      </w:tr>
    </w:tbl>
    <w:p>
      <w:pPr>
        <w:spacing w:after="1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1A5276" w:val="clear"/>
            <w:tcMar>
              <w:top w:type="dxa" w:w="100"/>
              <w:left w:type="dxa" w:w="180"/>
              <w:bottom w:type="dxa" w:w="100"/>
              <w:right w:type="dxa" w:w="180"/>
            </w:tcMar>
          </w:tcPr>
          <w:p>
            <w:r>
              <w:rPr>
                <w:rFonts w:ascii="Arial" w:cs="Arial" w:eastAsia="Arial" w:hAnsi="Arial"/>
                <w:b/>
                <w:bCs/>
                <w:color w:val="FFFFFF"/>
                <w:sz w:val="26"/>
                <w:szCs w:val="26"/>
              </w:rPr>
              <w:t xml:space="preserve">✏️ Conclusion — What Did You Find?</w:t>
            </w:r>
          </w:p>
        </w:tc>
      </w:tr>
      <w:tr>
        <w:tc>
          <w:tcPr>
            <w:tcW w:type="dxa" w:w="9360"/>
            <w:tcBorders>
              <w:top w:val="single" w:color="CCCCCC" w:sz="1"/>
              <w:left w:val="single" w:color="CCCCCC" w:sz="1"/>
              <w:bottom w:val="single" w:color="CCCCCC" w:sz="1"/>
              <w:right w:val="single" w:color="CCCCCC" w:sz="1"/>
            </w:tcBorders>
            <w:shd w:fill="EAF4FB" w:val="clear"/>
            <w:tcMar>
              <w:top w:type="dxa" w:w="120"/>
              <w:left w:type="dxa" w:w="180"/>
              <w:bottom w:type="dxa" w:w="120"/>
              <w:right w:type="dxa" w:w="180"/>
            </w:tcMar>
          </w:tcPr>
          <w:p>
            <w:pPr>
              <w:spacing w:after="120"/>
            </w:pPr>
            <w:r>
              <w:rPr>
                <w:rFonts w:ascii="Arial" w:cs="Arial" w:eastAsia="Arial" w:hAnsi="Arial"/>
                <w:b w:val="false"/>
                <w:bCs w:val="false"/>
                <w:i w:val="false"/>
                <w:iCs w:val="false"/>
                <w:color w:val="1C1C1C"/>
                <w:sz w:val="22"/>
                <w:szCs w:val="22"/>
              </w:rPr>
              <w:t xml:space="preserve">Use this fill-in template to write your conclusion. Answer in complete sentences.</w:t>
            </w:r>
          </w:p>
          <w:p>
            <w:pPr>
              <w:spacing w:after="160"/>
            </w:pPr>
          </w:p>
          <w:p>
            <w:pPr>
              <w:spacing w:after="120"/>
            </w:pPr>
            <w:r>
              <w:rPr>
                <w:rFonts w:ascii="Arial" w:cs="Arial" w:eastAsia="Arial" w:hAnsi="Arial"/>
                <w:b w:val="false"/>
                <w:bCs w:val="false"/>
                <w:i w:val="false"/>
                <w:iCs w:val="false"/>
                <w:color w:val="1C1C1C"/>
                <w:sz w:val="22"/>
                <w:szCs w:val="22"/>
              </w:rPr>
              <w:t xml:space="preserve">This experiment tested how touch sensitivity — measured by two-point discrimination threshold — differs across ________________________ body parts in ________________________ subjects.</w:t>
            </w:r>
          </w:p>
          <w:p>
            <w:pPr>
              <w:spacing w:after="160"/>
            </w:pPr>
          </w:p>
          <w:p>
            <w:pPr>
              <w:spacing w:after="120"/>
            </w:pPr>
            <w:r>
              <w:rPr>
                <w:rFonts w:ascii="Arial" w:cs="Arial" w:eastAsia="Arial" w:hAnsi="Arial"/>
                <w:b w:val="false"/>
                <w:bCs w:val="false"/>
                <w:i w:val="false"/>
                <w:iCs w:val="false"/>
                <w:color w:val="1C1C1C"/>
                <w:sz w:val="22"/>
                <w:szCs w:val="22"/>
              </w:rPr>
              <w:t xml:space="preserve">The body part with the smallest average threshold (most sensitive) was ________________________, with an average of ________ mm. The body part with the largest threshold (least sensitive) was ________________________, with an average of ________ mm.</w:t>
            </w:r>
          </w:p>
          <w:p>
            <w:pPr>
              <w:spacing w:after="160"/>
            </w:pPr>
          </w:p>
          <w:p>
            <w:pPr>
              <w:spacing w:after="120"/>
            </w:pPr>
            <w:r>
              <w:rPr>
                <w:rFonts w:ascii="Arial" w:cs="Arial" w:eastAsia="Arial" w:hAnsi="Arial"/>
                <w:b w:val="false"/>
                <w:bCs w:val="false"/>
                <w:i w:val="false"/>
                <w:iCs w:val="false"/>
                <w:color w:val="1C1C1C"/>
                <w:sz w:val="22"/>
                <w:szCs w:val="22"/>
              </w:rPr>
              <w:t xml:space="preserve">My hypothesis was ________________________. My prediction was ________________________ (correct / partially correct / incorrect) because ________________________.</w:t>
            </w:r>
          </w:p>
          <w:p>
            <w:pPr>
              <w:spacing w:after="160"/>
            </w:pPr>
          </w:p>
          <w:p>
            <w:pPr>
              <w:spacing w:after="120"/>
            </w:pPr>
            <w:r>
              <w:rPr>
                <w:rFonts w:ascii="Arial" w:cs="Arial" w:eastAsia="Arial" w:hAnsi="Arial"/>
                <w:b w:val="false"/>
                <w:bCs w:val="false"/>
                <w:i w:val="false"/>
                <w:iCs w:val="false"/>
                <w:color w:val="1C1C1C"/>
                <w:sz w:val="22"/>
                <w:szCs w:val="22"/>
              </w:rPr>
              <w:t xml:space="preserve">The BrainMapper homunculus diagrams showed that ________________________, which is consistent with / different from what we know about the sensory cortex because ________________________.</w:t>
            </w:r>
          </w:p>
          <w:p>
            <w:pPr>
              <w:spacing w:after="160"/>
            </w:pPr>
          </w:p>
          <w:p>
            <w:pPr>
              <w:spacing w:after="120"/>
            </w:pPr>
            <w:r>
              <w:rPr>
                <w:rFonts w:ascii="Arial" w:cs="Arial" w:eastAsia="Arial" w:hAnsi="Arial"/>
                <w:b w:val="false"/>
                <w:bCs w:val="false"/>
                <w:i w:val="false"/>
                <w:iCs w:val="false"/>
                <w:color w:val="1C1C1C"/>
                <w:sz w:val="22"/>
                <w:szCs w:val="22"/>
              </w:rPr>
              <w:t xml:space="preserve">This is important to real-world neuroscience because ________________________.</w:t>
            </w:r>
          </w:p>
        </w:tc>
      </w:tr>
    </w:tbl>
    <w:p>
      <w:pPr>
        <w:spacing w:after="1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1A5276" w:val="clear"/>
            <w:tcMar>
              <w:top w:type="dxa" w:w="100"/>
              <w:left w:type="dxa" w:w="180"/>
              <w:bottom w:type="dxa" w:w="100"/>
              <w:right w:type="dxa" w:w="180"/>
            </w:tcMar>
          </w:tcPr>
          <w:p>
            <w:r>
              <w:rPr>
                <w:rFonts w:ascii="Arial" w:cs="Arial" w:eastAsia="Arial" w:hAnsi="Arial"/>
                <w:b/>
                <w:bCs/>
                <w:color w:val="FFFFFF"/>
                <w:sz w:val="26"/>
                <w:szCs w:val="26"/>
              </w:rPr>
              <w:t xml:space="preserve">🔭 Want to Explore Further? (Optional)</w:t>
            </w:r>
          </w:p>
        </w:tc>
      </w:tr>
      <w:tr>
        <w:tc>
          <w:tcPr>
            <w:tcW w:type="dxa" w:w="9360"/>
            <w:tcBorders>
              <w:top w:val="single" w:color="CCCCCC" w:sz="1"/>
              <w:left w:val="single" w:color="CCCCCC" w:sz="1"/>
              <w:bottom w:val="single" w:color="CCCCCC" w:sz="1"/>
              <w:right w:val="single" w:color="CCCCCC" w:sz="1"/>
            </w:tcBorders>
            <w:shd w:fill="EAF4FB" w:val="clear"/>
            <w:tcMar>
              <w:top w:type="dxa" w:w="120"/>
              <w:left w:type="dxa" w:w="180"/>
              <w:bottom w:type="dxa" w:w="120"/>
              <w:right w:type="dxa" w:w="180"/>
            </w:tcMar>
          </w:tcPr>
          <w:p>
            <w:pPr>
              <w:spacing w:after="120"/>
            </w:pPr>
            <w:r>
              <w:rPr>
                <w:rFonts w:ascii="Arial" w:cs="Arial" w:eastAsia="Arial" w:hAnsi="Arial"/>
                <w:b w:val="false"/>
                <w:bCs w:val="false"/>
                <w:i w:val="false"/>
                <w:iCs w:val="false"/>
                <w:color w:val="1C1C1C"/>
                <w:sz w:val="22"/>
                <w:szCs w:val="22"/>
              </w:rPr>
              <w:t xml:space="preserve">If you are curious and want to go deeper, try one or more of these extensions:</w:t>
            </w:r>
          </w:p>
          <w:p>
            <w:pPr>
              <w:spacing w:after="160"/>
            </w:pPr>
          </w:p>
          <w:p>
            <w:pPr>
              <w:pStyle w:val="ListParagraph"/>
              <w:numPr>
                <w:ilvl w:val="0"/>
                <w:numId w:val="2"/>
              </w:numPr>
              <w:spacing w:after="80"/>
            </w:pPr>
            <w:r>
              <w:rPr>
                <w:rFonts w:ascii="Arial" w:cs="Arial" w:eastAsia="Arial" w:hAnsi="Arial"/>
                <w:color w:val="1C1C1C"/>
                <w:sz w:val="22"/>
                <w:szCs w:val="22"/>
              </w:rPr>
              <w:t xml:space="preserve">Test fingertip sensitivity before and after a hand is slightly cooled (hold ice for 30 seconds). Does temperature change the two-point threshold? Why might that happen?</w:t>
            </w:r>
          </w:p>
          <w:p>
            <w:pPr>
              <w:pStyle w:val="ListParagraph"/>
              <w:numPr>
                <w:ilvl w:val="0"/>
                <w:numId w:val="2"/>
              </w:numPr>
              <w:spacing w:after="80"/>
            </w:pPr>
            <w:r>
              <w:rPr>
                <w:rFonts w:ascii="Arial" w:cs="Arial" w:eastAsia="Arial" w:hAnsi="Arial"/>
                <w:color w:val="1C1C1C"/>
                <w:sz w:val="22"/>
                <w:szCs w:val="22"/>
              </w:rPr>
              <w:t xml:space="preserve">Compare dominant vs. non-dominant hands. Is the dominant hand more sensitive? Research whether regular use of a body part can increase its representation on the sensory cortex.</w:t>
            </w:r>
          </w:p>
          <w:p>
            <w:pPr>
              <w:pStyle w:val="ListParagraph"/>
              <w:numPr>
                <w:ilvl w:val="0"/>
                <w:numId w:val="2"/>
              </w:numPr>
              <w:spacing w:after="80"/>
            </w:pPr>
            <w:r>
              <w:rPr>
                <w:rFonts w:ascii="Arial" w:cs="Arial" w:eastAsia="Arial" w:hAnsi="Arial"/>
                <w:color w:val="1C1C1C"/>
                <w:sz w:val="22"/>
                <w:szCs w:val="22"/>
              </w:rPr>
              <w:t xml:space="preserve">Test the same body parts on people of different ages. Does sensitivity decrease with age? Is the pattern the same across all body regions?</w:t>
            </w:r>
          </w:p>
          <w:p>
            <w:pPr>
              <w:pStyle w:val="ListParagraph"/>
              <w:numPr>
                <w:ilvl w:val="0"/>
                <w:numId w:val="2"/>
              </w:numPr>
              <w:spacing w:after="80"/>
            </w:pPr>
            <w:r>
              <w:rPr>
                <w:rFonts w:ascii="Arial" w:cs="Arial" w:eastAsia="Arial" w:hAnsi="Arial"/>
                <w:color w:val="1C1C1C"/>
                <w:sz w:val="22"/>
                <w:szCs w:val="22"/>
              </w:rPr>
              <w:t xml:space="preserve">Research phantom limb syndrome — the experience of feeling sensations in a limb that has been amputated. How does this relate to the brain's body map? What does it tell us about where sensation actually lives?</w:t>
            </w:r>
          </w:p>
          <w:p>
            <w:pPr>
              <w:pStyle w:val="ListParagraph"/>
              <w:numPr>
                <w:ilvl w:val="0"/>
                <w:numId w:val="2"/>
              </w:numPr>
              <w:spacing w:after="80"/>
            </w:pPr>
            <w:r>
              <w:rPr>
                <w:rFonts w:ascii="Arial" w:cs="Arial" w:eastAsia="Arial" w:hAnsi="Arial"/>
                <w:color w:val="1C1C1C"/>
                <w:sz w:val="22"/>
                <w:szCs w:val="22"/>
              </w:rPr>
              <w:t xml:space="preserve">Look up the rubber hand illusion. How does it demonstrate that the brain's body map can be fooled? Can you replicate a version of it at home?</w:t>
            </w:r>
          </w:p>
          <w:p>
            <w:pPr>
              <w:spacing w:after="160"/>
            </w:pPr>
          </w:p>
          <w:p>
            <w:pPr>
              <w:spacing w:after="120"/>
            </w:pPr>
            <w:r>
              <w:rPr>
                <w:rFonts w:ascii="Arial" w:cs="Arial" w:eastAsia="Arial" w:hAnsi="Arial"/>
                <w:b w:val="false"/>
                <w:bCs w:val="false"/>
                <w:i/>
                <w:iCs/>
                <w:color w:val="1C1C1C"/>
                <w:sz w:val="22"/>
                <w:szCs w:val="22"/>
              </w:rPr>
              <w:t xml:space="preserve">Science fair tip: If you test across multiple age groups or compare dominant vs. non-dominant hands, you can treat each comparison as a separate experimental group — turning this into a true multi-variable study!</w:t>
            </w:r>
          </w:p>
        </w:tc>
      </w:tr>
    </w:tbl>
    <w:p>
      <w:pPr>
        <w:spacing w:after="1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1A5276" w:val="clear"/>
            <w:tcMar>
              <w:top w:type="dxa" w:w="100"/>
              <w:left w:type="dxa" w:w="180"/>
              <w:bottom w:type="dxa" w:w="100"/>
              <w:right w:type="dxa" w:w="180"/>
            </w:tcMar>
          </w:tcPr>
          <w:p>
            <w:r>
              <w:rPr>
                <w:rFonts w:ascii="Arial" w:cs="Arial" w:eastAsia="Arial" w:hAnsi="Arial"/>
                <w:b/>
                <w:bCs/>
                <w:color w:val="FFFFFF"/>
                <w:sz w:val="26"/>
                <w:szCs w:val="26"/>
              </w:rPr>
              <w:t xml:space="preserve">🌍 Real-World Connection</w:t>
            </w:r>
          </w:p>
        </w:tc>
      </w:tr>
      <w:tr>
        <w:tc>
          <w:tcPr>
            <w:tcW w:type="dxa" w:w="9360"/>
            <w:tcBorders>
              <w:top w:val="single" w:color="CCCCCC" w:sz="1"/>
              <w:left w:val="single" w:color="CCCCCC" w:sz="1"/>
              <w:bottom w:val="single" w:color="CCCCCC" w:sz="1"/>
              <w:right w:val="single" w:color="CCCCCC" w:sz="1"/>
            </w:tcBorders>
            <w:shd w:fill="EAF4FB" w:val="clear"/>
            <w:tcMar>
              <w:top w:type="dxa" w:w="120"/>
              <w:left w:type="dxa" w:w="180"/>
              <w:bottom w:type="dxa" w:w="120"/>
              <w:right w:type="dxa" w:w="180"/>
            </w:tcMar>
          </w:tcPr>
          <w:p>
            <w:pPr>
              <w:spacing w:after="120"/>
            </w:pPr>
            <w:r>
              <w:rPr>
                <w:rFonts w:ascii="Arial" w:cs="Arial" w:eastAsia="Arial" w:hAnsi="Arial"/>
                <w:b w:val="false"/>
                <w:bCs w:val="false"/>
                <w:i w:val="false"/>
                <w:iCs w:val="false"/>
                <w:color w:val="1C1C1C"/>
                <w:sz w:val="22"/>
                <w:szCs w:val="22"/>
              </w:rPr>
              <w:t xml:space="preserve">The sensory homunculus was first mapped by neurosurgeon Wilder Penfield in the 1930s and 1940s. While performing brain surgery on conscious patients (who felt no pain due to local anesthesia), he gently stimulated different areas of the brain's surface and asked patients what they felt. The result was the first map of the sensory cortex — a map that neuroscientists still use and refine today.</w:t>
            </w:r>
          </w:p>
          <w:p>
            <w:pPr>
              <w:spacing w:after="160"/>
            </w:pPr>
          </w:p>
          <w:p>
            <w:pPr>
              <w:spacing w:after="120"/>
            </w:pPr>
            <w:r>
              <w:rPr>
                <w:rFonts w:ascii="Arial" w:cs="Arial" w:eastAsia="Arial" w:hAnsi="Arial"/>
                <w:b w:val="false"/>
                <w:bCs w:val="false"/>
                <w:i w:val="false"/>
                <w:iCs w:val="false"/>
                <w:color w:val="1C1C1C"/>
                <w:sz w:val="22"/>
                <w:szCs w:val="22"/>
              </w:rPr>
              <w:t xml:space="preserve">Understanding the body's touch map has enormous practical importance. Physical therapists use two-point discrimination tests to assess nerve damage after injury or stroke. Prosthetic limb designers use sensory maps to position feedback sensors that help amputees feel their artificial limbs. Surgeons use knowledge of nerve density to plan incisions that minimize long-term sensation loss.</w:t>
            </w:r>
          </w:p>
          <w:p>
            <w:pPr>
              <w:spacing w:after="160"/>
            </w:pPr>
          </w:p>
          <w:p>
            <w:pPr>
              <w:spacing w:after="120"/>
            </w:pPr>
            <w:r>
              <w:rPr>
                <w:rFonts w:ascii="Arial" w:cs="Arial" w:eastAsia="Arial" w:hAnsi="Arial"/>
                <w:b w:val="false"/>
                <w:bCs w:val="false"/>
                <w:i w:val="false"/>
                <w:iCs w:val="false"/>
                <w:color w:val="1C1C1C"/>
                <w:sz w:val="22"/>
                <w:szCs w:val="22"/>
              </w:rPr>
              <w:t xml:space="preserve">The field of sensory neuroscience continues to advance rapidly. Researchers are developing electronic skin — thin, flexible sensors that can detect touch as precisely as a human fingertip — for use in surgical robots and next-generation prosthetics. The foundation of all of this work is understanding exactly what you measured today: which parts of the body are most sensitive, and why.</w:t>
            </w:r>
          </w:p>
          <w:p>
            <w:pPr>
              <w:spacing w:after="160"/>
            </w:pPr>
          </w:p>
          <w:p>
            <w:pPr>
              <w:spacing w:after="120"/>
            </w:pPr>
            <w:r>
              <w:rPr>
                <w:rFonts w:ascii="Arial" w:cs="Arial" w:eastAsia="Arial" w:hAnsi="Arial"/>
                <w:b w:val="false"/>
                <w:bCs w:val="false"/>
                <w:i w:val="false"/>
                <w:iCs w:val="false"/>
                <w:color w:val="1C1C1C"/>
                <w:sz w:val="22"/>
                <w:szCs w:val="22"/>
              </w:rPr>
              <w:t xml:space="preserve">Scientists who work in this area include neuroscientists, sensory physiologists, and biomedical engineers. The data you collected is the same kind of data they use — just at a larger scale. Maybe one day, that scientist will be you.</w:t>
            </w:r>
          </w:p>
        </w:tc>
      </w:tr>
    </w:tbl>
    <w:p>
      <w:pPr>
        <w:spacing w:after="1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Borders>
              <w:top w:val="single" w:color="CCCCCC" w:sz="1"/>
              <w:left w:val="single" w:color="CCCCCC" w:sz="1"/>
              <w:bottom w:val="single" w:color="CCCCCC" w:sz="1"/>
              <w:right w:val="single" w:color="CCCCCC" w:sz="1"/>
            </w:tcBorders>
            <w:shd w:fill="1A5276" w:val="clear"/>
            <w:tcMar>
              <w:top w:type="dxa" w:w="80"/>
              <w:left w:type="dxa" w:w="180"/>
              <w:bottom w:type="dxa" w:w="80"/>
              <w:right w:type="dxa" w:w="180"/>
            </w:tcMar>
          </w:tcPr>
          <w:p>
            <w:pPr>
              <w:jc w:val="center"/>
            </w:pPr>
            <w:r>
              <w:rPr>
                <w:rFonts w:ascii="Arial" w:cs="Arial" w:eastAsia="Arial" w:hAnsi="Arial"/>
                <w:color w:val="FFFFFF"/>
                <w:sz w:val="18"/>
                <w:szCs w:val="18"/>
              </w:rPr>
              <w:t xml:space="preserve">Avante Science | avantescience.org | Empowering young minds through equitable, hands-on science education</w:t>
            </w:r>
          </w:p>
        </w:tc>
      </w:tr>
    </w:tbl>
    <w:sectPr>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abstractNum w:abstractNumId="4" w15:restartNumberingAfterBreak="0">
    <w:multiLevelType w:val="hybridMultilevel"/>
    <w:lvl w:ilvl="0" w15:tentative="1">
      <w:start w:val="1"/>
      <w:numFmt w:val="decimal"/>
      <w:lvlText w:val="%1."/>
      <w:lvlJc w:val="left"/>
      <w:pPr>
        <w:ind w:left="720" w:hanging="360"/>
      </w:pPr>
    </w:lvl>
  </w:abstractNum>
  <w:abstractNum w:abstractNumId="5" w15:restartNumberingAfterBreak="0">
    <w:multiLevelType w:val="hybridMultilevel"/>
    <w:lvl w:ilvl="0" w15:tentative="1">
      <w:start w:val="1"/>
      <w:numFmt w:val="lowerLetter"/>
      <w:lvlText w:val="%1."/>
      <w:lvlJc w:val="left"/>
      <w:pPr>
        <w:ind w:left="108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 w:numId="5">
    <w:abstractNumId w:val="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C1C1C"/>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2026-04-06T19:29:59.495Z</dcterms:created>
  <dcterms:modified xsi:type="dcterms:W3CDTF">2026-04-06T19:29:59.497Z</dcterms:modified>
</cp:coreProperties>
</file>

<file path=docProps/custom.xml><?xml version="1.0" encoding="utf-8"?>
<Properties xmlns="http://schemas.openxmlformats.org/officeDocument/2006/custom-properties" xmlns:vt="http://schemas.openxmlformats.org/officeDocument/2006/docPropsVTypes"/>
</file>